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2FBBD9" w14:textId="77777777" w:rsidR="00F87EE8" w:rsidRDefault="00F87EE8" w:rsidP="00F87EE8">
      <w:pPr>
        <w:jc w:val="center"/>
        <w:rPr>
          <w:b/>
        </w:rPr>
      </w:pPr>
      <w:bookmarkStart w:id="0" w:name="_CITRUS_ITALIC"/>
      <w:bookmarkStart w:id="1" w:name="_GoBack"/>
      <w:bookmarkEnd w:id="0"/>
      <w:bookmarkEnd w:id="1"/>
      <w:r>
        <w:rPr>
          <w:b/>
        </w:rPr>
        <w:t>UNITED STATES DISTRICT COURT</w:t>
      </w:r>
    </w:p>
    <w:p w14:paraId="3946534B" w14:textId="77777777" w:rsidR="00F87EE8" w:rsidRDefault="00F87EE8" w:rsidP="00F87EE8">
      <w:pPr>
        <w:jc w:val="center"/>
        <w:rPr>
          <w:b/>
        </w:rPr>
      </w:pPr>
      <w:r>
        <w:rPr>
          <w:b/>
        </w:rPr>
        <w:t>DISTRICT OF MOOT</w:t>
      </w:r>
    </w:p>
    <w:p w14:paraId="59F62775" w14:textId="77777777" w:rsidR="00F87EE8" w:rsidRPr="00246A11" w:rsidRDefault="00F87EE8" w:rsidP="00F87EE8">
      <w:pPr>
        <w:ind w:firstLine="720"/>
        <w:jc w:val="center"/>
        <w:rPr>
          <w:b/>
        </w:rPr>
      </w:pPr>
      <w:r w:rsidRPr="00246A11">
        <w:rPr>
          <w:b/>
        </w:rPr>
        <w:t>COURT FILE NO. 27-CV-12-1234</w:t>
      </w:r>
    </w:p>
    <w:p w14:paraId="53548AB8" w14:textId="77777777" w:rsidR="00F87EE8" w:rsidRDefault="00F87EE8" w:rsidP="00F87EE8">
      <w:pPr>
        <w:jc w:val="center"/>
        <w:rPr>
          <w:b/>
        </w:rPr>
      </w:pPr>
      <w:r>
        <w:rPr>
          <w:b/>
          <w:noProof/>
        </w:rPr>
        <mc:AlternateContent>
          <mc:Choice Requires="wps">
            <w:drawing>
              <wp:anchor distT="0" distB="0" distL="114300" distR="114300" simplePos="0" relativeHeight="251659264" behindDoc="0" locked="0" layoutInCell="1" allowOverlap="1" wp14:anchorId="75C92EA2" wp14:editId="420EF842">
                <wp:simplePos x="0" y="0"/>
                <wp:positionH relativeFrom="column">
                  <wp:posOffset>-76201</wp:posOffset>
                </wp:positionH>
                <wp:positionV relativeFrom="paragraph">
                  <wp:posOffset>33655</wp:posOffset>
                </wp:positionV>
                <wp:extent cx="6105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6105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2.65pt" to="474.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" strokecolor="black [3040]"/>
            </w:pict>
          </mc:Fallback>
        </mc:AlternateContent>
      </w:r>
    </w:p>
    <w:tbl>
      <w:tblPr>
        <w:tblW w:w="9727" w:type="dxa"/>
        <w:tblLayout w:type="fixed"/>
        <w:tblLook w:val="0000" w:firstRow="0" w:lastRow="0" w:firstColumn="0" w:lastColumn="0" w:noHBand="0" w:noVBand="0"/>
      </w:tblPr>
      <w:tblGrid>
        <w:gridCol w:w="9727"/>
      </w:tblGrid>
      <w:tr w:rsidR="00F87EE8" w14:paraId="4E382450" w14:textId="77777777" w:rsidTr="001764DE">
        <w:trPr>
          <w:trHeight w:val="260"/>
        </w:trPr>
        <w:tc>
          <w:tcPr>
            <w:tcW w:w="9727" w:type="dxa"/>
          </w:tcPr>
          <w:p w14:paraId="6D5A9F2A" w14:textId="77777777" w:rsidR="00F87EE8" w:rsidRDefault="00F87EE8" w:rsidP="001764DE">
            <w:pPr>
              <w:pStyle w:val="Footer"/>
              <w:widowControl w:val="0"/>
              <w:tabs>
                <w:tab w:val="clear" w:pos="4320"/>
                <w:tab w:val="clear" w:pos="8640"/>
              </w:tabs>
              <w:rPr>
                <w:snapToGrid w:val="0"/>
              </w:rPr>
            </w:pPr>
            <w:r w:rsidRPr="00246A11">
              <w:t>OGS TV, Inc.</w:t>
            </w:r>
            <w:r>
              <w:rPr>
                <w:snapToGrid w:val="0"/>
              </w:rPr>
              <w:t>,                             Hon. Beatrice Fair</w:t>
            </w:r>
          </w:p>
          <w:p w14:paraId="489904CB" w14:textId="77777777" w:rsidR="00F87EE8" w:rsidRPr="00246A11" w:rsidRDefault="00F87EE8" w:rsidP="001764DE">
            <w:pPr>
              <w:pStyle w:val="Footer"/>
              <w:widowControl w:val="0"/>
              <w:tabs>
                <w:tab w:val="clear" w:pos="4320"/>
                <w:tab w:val="clear" w:pos="8640"/>
              </w:tabs>
              <w:rPr>
                <w:snapToGrid w:val="0"/>
              </w:rPr>
            </w:pPr>
            <w:r>
              <w:rPr>
                <w:snapToGrid w:val="0"/>
              </w:rPr>
              <w:t xml:space="preserve">          Plaintiff.                             United States District Judge          </w:t>
            </w:r>
          </w:p>
          <w:p w14:paraId="3159C760" w14:textId="77777777" w:rsidR="00F87EE8" w:rsidRDefault="00F87EE8" w:rsidP="001764DE">
            <w:pPr>
              <w:pStyle w:val="Footer"/>
              <w:widowControl w:val="0"/>
              <w:tabs>
                <w:tab w:val="clear" w:pos="4320"/>
                <w:tab w:val="clear" w:pos="8640"/>
              </w:tabs>
              <w:rPr>
                <w:snapToGrid w:val="0"/>
              </w:rPr>
            </w:pPr>
            <w:proofErr w:type="gramStart"/>
            <w:r>
              <w:rPr>
                <w:snapToGrid w:val="0"/>
              </w:rPr>
              <w:t>v</w:t>
            </w:r>
            <w:proofErr w:type="gramEnd"/>
            <w:r>
              <w:rPr>
                <w:snapToGrid w:val="0"/>
              </w:rPr>
              <w:t>.</w:t>
            </w:r>
          </w:p>
          <w:p w14:paraId="5C42695E" w14:textId="77777777" w:rsidR="00F87EE8" w:rsidRPr="00A67D90" w:rsidRDefault="00F87EE8" w:rsidP="001764DE">
            <w:pPr>
              <w:pStyle w:val="Footer"/>
              <w:widowControl w:val="0"/>
              <w:tabs>
                <w:tab w:val="clear" w:pos="4320"/>
                <w:tab w:val="clear" w:pos="8640"/>
              </w:tabs>
            </w:pPr>
            <w:r>
              <w:rPr>
                <w:snapToGrid w:val="0"/>
              </w:rPr>
              <w:t xml:space="preserve">               </w:t>
            </w:r>
          </w:p>
          <w:p w14:paraId="7AD11D87" w14:textId="77777777" w:rsidR="00F87EE8" w:rsidRDefault="00F87EE8" w:rsidP="001764DE">
            <w:pPr>
              <w:pStyle w:val="Footer"/>
              <w:widowControl w:val="0"/>
              <w:tabs>
                <w:tab w:val="clear" w:pos="4320"/>
                <w:tab w:val="clear" w:pos="8640"/>
              </w:tabs>
              <w:rPr>
                <w:snapToGrid w:val="0"/>
              </w:rPr>
            </w:pPr>
            <w:r w:rsidRPr="00246A11">
              <w:t>Elizabeth Lime, and Tiny</w:t>
            </w:r>
            <w:r>
              <w:t xml:space="preserve"> </w:t>
            </w:r>
            <w:r w:rsidRPr="00246A11">
              <w:t>TV, Inc.</w:t>
            </w:r>
            <w:r>
              <w:rPr>
                <w:snapToGrid w:val="0"/>
              </w:rPr>
              <w:t>,</w:t>
            </w:r>
          </w:p>
          <w:p w14:paraId="4366B0D7" w14:textId="77777777" w:rsidR="00F87EE8" w:rsidRDefault="00F87EE8" w:rsidP="001764DE">
            <w:pPr>
              <w:pStyle w:val="Footer"/>
              <w:widowControl w:val="0"/>
              <w:tabs>
                <w:tab w:val="clear" w:pos="4320"/>
                <w:tab w:val="clear" w:pos="8640"/>
              </w:tabs>
              <w:rPr>
                <w:snapToGrid w:val="0"/>
              </w:rPr>
            </w:pPr>
            <w:r>
              <w:rPr>
                <w:snapToGrid w:val="0"/>
              </w:rPr>
              <w:t xml:space="preserve">          Defendants.</w:t>
            </w:r>
          </w:p>
          <w:p w14:paraId="559AF80E" w14:textId="77777777" w:rsidR="00F87EE8" w:rsidRDefault="00F87EE8" w:rsidP="001764DE">
            <w:pPr>
              <w:pStyle w:val="Footer"/>
              <w:widowControl w:val="0"/>
              <w:tabs>
                <w:tab w:val="clear" w:pos="4320"/>
                <w:tab w:val="clear" w:pos="8640"/>
              </w:tabs>
              <w:rPr>
                <w:snapToGrid w:val="0"/>
              </w:rPr>
            </w:pPr>
          </w:p>
          <w:p w14:paraId="352B03A8" w14:textId="77777777" w:rsidR="00F87EE8" w:rsidRDefault="00F87EE8" w:rsidP="001764DE">
            <w:pPr>
              <w:pStyle w:val="Footer"/>
              <w:widowControl w:val="0"/>
              <w:tabs>
                <w:tab w:val="clear" w:pos="4320"/>
                <w:tab w:val="clear" w:pos="8640"/>
              </w:tabs>
              <w:rPr>
                <w:snapToGrid w:val="0"/>
              </w:rPr>
            </w:pPr>
            <w:r>
              <w:rPr>
                <w:snapToGrid w:val="0"/>
              </w:rPr>
              <w:t xml:space="preserve">MEMORANDUM IN SUPPORT OF DEFENDANTS’ 12(b)(6) MOTION TO DISMISS FOR FAILURE TO STATE A CLAIM UPON WHICH RELIEF CAN BE GRANTED  </w:t>
            </w:r>
          </w:p>
        </w:tc>
      </w:tr>
      <w:tr w:rsidR="00F87EE8" w14:paraId="5DFA368F" w14:textId="77777777" w:rsidTr="001764DE">
        <w:trPr>
          <w:trHeight w:val="260"/>
        </w:trPr>
        <w:tc>
          <w:tcPr>
            <w:tcW w:w="9727" w:type="dxa"/>
          </w:tcPr>
          <w:p w14:paraId="5AD5FA8F" w14:textId="77777777" w:rsidR="00F87EE8" w:rsidRPr="00A67D90" w:rsidRDefault="00F87EE8" w:rsidP="001764DE">
            <w:pPr>
              <w:pStyle w:val="Footer"/>
              <w:widowControl w:val="0"/>
              <w:tabs>
                <w:tab w:val="clear" w:pos="4320"/>
                <w:tab w:val="clear" w:pos="8640"/>
              </w:tabs>
            </w:pPr>
            <w:r>
              <w:rPr>
                <w:b/>
                <w:noProof/>
              </w:rPr>
              <mc:AlternateContent>
                <mc:Choice Requires="wps">
                  <w:drawing>
                    <wp:anchor distT="0" distB="0" distL="114300" distR="114300" simplePos="0" relativeHeight="251660288" behindDoc="0" locked="0" layoutInCell="1" allowOverlap="1" wp14:anchorId="5356DC1C" wp14:editId="4646F9BC">
                      <wp:simplePos x="0" y="0"/>
                      <wp:positionH relativeFrom="column">
                        <wp:posOffset>-76200</wp:posOffset>
                      </wp:positionH>
                      <wp:positionV relativeFrom="paragraph">
                        <wp:posOffset>105410</wp:posOffset>
                      </wp:positionV>
                      <wp:extent cx="59531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595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8.3pt" to="462.7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" strokecolor="black [3040]"/>
                  </w:pict>
                </mc:Fallback>
              </mc:AlternateContent>
            </w:r>
          </w:p>
        </w:tc>
      </w:tr>
    </w:tbl>
    <w:p w14:paraId="630BFA64" w14:textId="77777777" w:rsidR="00F87EE8" w:rsidRDefault="00F87EE8" w:rsidP="00F87EE8">
      <w:pPr>
        <w:spacing w:before="100" w:beforeAutospacing="1" w:after="100" w:afterAutospacing="1" w:line="240" w:lineRule="atLeast"/>
        <w:jc w:val="center"/>
      </w:pPr>
      <w:r>
        <w:rPr>
          <w:b/>
          <w:u w:val="single"/>
        </w:rPr>
        <w:t>INTRODUCTION</w:t>
      </w:r>
    </w:p>
    <w:p w14:paraId="5D91C47D" w14:textId="77777777" w:rsidR="00F87EE8" w:rsidRDefault="00F87EE8" w:rsidP="00F87EE8">
      <w:pPr>
        <w:spacing w:before="100" w:beforeAutospacing="1" w:after="100" w:afterAutospacing="1" w:line="480" w:lineRule="auto"/>
        <w:rPr>
          <w:snapToGrid w:val="0"/>
        </w:rPr>
      </w:pPr>
      <w:r>
        <w:tab/>
        <w:t>The Defendants, Elizabeth Lime (“Lime”) and Tiny TV, Inc. (“Tiny TV”), submit this Memorandum in support of their 12(b)(6) Motion. In this case, OGS TV, Inc. (“OGS”) alleges that defendants violated the copyright on a screenplay owned by OGS by producing and airing a pilot for a new television program entitled “The Love Below.” Lime and Tiny TV ask the Court to grant their Motion to Dismiss because OGS did not adhere to the Copy Right Act of 1976 in attempting to obtain the copyright for “Anticipatory Repudiation.”</w:t>
      </w:r>
    </w:p>
    <w:p w14:paraId="3C2BDA69" w14:textId="77777777" w:rsidR="00F87EE8" w:rsidRDefault="00F87EE8" w:rsidP="00F87EE8">
      <w:pPr>
        <w:spacing w:before="100" w:beforeAutospacing="1" w:after="100" w:afterAutospacing="1" w:line="240" w:lineRule="atLeast"/>
        <w:jc w:val="center"/>
        <w:rPr>
          <w:b/>
          <w:snapToGrid w:val="0"/>
          <w:u w:val="single"/>
        </w:rPr>
      </w:pPr>
      <w:r>
        <w:rPr>
          <w:b/>
          <w:snapToGrid w:val="0"/>
          <w:u w:val="single"/>
        </w:rPr>
        <w:t>FACTUAL BACKGROUND</w:t>
      </w:r>
    </w:p>
    <w:p w14:paraId="7966B04E" w14:textId="77777777" w:rsidR="00F87EE8" w:rsidRDefault="00F87EE8" w:rsidP="00F87EE8">
      <w:pPr>
        <w:spacing w:before="100" w:beforeAutospacing="1" w:after="100" w:afterAutospacing="1" w:line="480" w:lineRule="auto"/>
      </w:pPr>
      <w:r>
        <w:rPr>
          <w:snapToGrid w:val="0"/>
        </w:rPr>
        <w:tab/>
        <w:t>Elizabeth Lime is a professional writer who, for more than 15 years, has made a living writin</w:t>
      </w:r>
      <w:r w:rsidR="00A76A1A">
        <w:rPr>
          <w:snapToGrid w:val="0"/>
        </w:rPr>
        <w:t xml:space="preserve">g for television series. </w:t>
      </w:r>
      <w:proofErr w:type="spellStart"/>
      <w:r w:rsidR="00A76A1A">
        <w:rPr>
          <w:snapToGrid w:val="0"/>
        </w:rPr>
        <w:t>Compl</w:t>
      </w:r>
      <w:proofErr w:type="spellEnd"/>
      <w:r w:rsidR="00A76A1A">
        <w:rPr>
          <w:snapToGrid w:val="0"/>
        </w:rPr>
        <w:t>.  ¶ 11.</w:t>
      </w:r>
      <w:r>
        <w:rPr>
          <w:snapToGrid w:val="0"/>
        </w:rPr>
        <w:t xml:space="preserve"> </w:t>
      </w:r>
      <w:r>
        <w:t xml:space="preserve">On March 27, 2010, OGS contacted Lime to have her write a screenplay for one episode of their series </w:t>
      </w:r>
      <w:r>
        <w:rPr>
          <w:rStyle w:val="list0020paragraphchar"/>
          <w:rFonts w:eastAsiaTheme="majorEastAsia"/>
          <w:i/>
          <w:iCs/>
        </w:rPr>
        <w:t>Lawless Love</w:t>
      </w:r>
      <w:r>
        <w:rPr>
          <w:rStyle w:val="list0020paragraphchar"/>
          <w:rFonts w:eastAsiaTheme="majorEastAsia"/>
          <w:iCs/>
        </w:rPr>
        <w:t>, a fictional program that chronicles the per</w:t>
      </w:r>
      <w:r w:rsidR="00A76A1A">
        <w:rPr>
          <w:rStyle w:val="list0020paragraphchar"/>
          <w:rFonts w:eastAsiaTheme="majorEastAsia"/>
          <w:iCs/>
        </w:rPr>
        <w:t xml:space="preserve">sonal lives of young attorneys. </w:t>
      </w:r>
      <w:proofErr w:type="spellStart"/>
      <w:r w:rsidR="00A76A1A">
        <w:t>Compl</w:t>
      </w:r>
      <w:proofErr w:type="spellEnd"/>
      <w:r w:rsidR="00A76A1A">
        <w:t xml:space="preserve">. </w:t>
      </w:r>
      <w:proofErr w:type="gramStart"/>
      <w:r w:rsidR="00A76A1A">
        <w:t>¶¶ 9, 5.</w:t>
      </w:r>
      <w:proofErr w:type="gramEnd"/>
      <w:r>
        <w:t xml:space="preserve"> On March 27, 2010, Dave Nelson, executive producer of </w:t>
      </w:r>
      <w:r>
        <w:rPr>
          <w:i/>
        </w:rPr>
        <w:t>Lawless Love</w:t>
      </w:r>
      <w:r>
        <w:t>, met with Lim</w:t>
      </w:r>
      <w:r w:rsidR="00A76A1A">
        <w:t xml:space="preserve">e in the office of OGS.  </w:t>
      </w:r>
      <w:proofErr w:type="spellStart"/>
      <w:r w:rsidR="00A76A1A">
        <w:t>Compl</w:t>
      </w:r>
      <w:proofErr w:type="spellEnd"/>
      <w:r w:rsidR="00A76A1A">
        <w:t xml:space="preserve">. ¶ 12. </w:t>
      </w:r>
      <w:r>
        <w:t xml:space="preserve">During the meeting, Dave Nelson and defendant Lime agreed orally that she would prepare a screenplay for </w:t>
      </w:r>
      <w:r>
        <w:rPr>
          <w:rStyle w:val="list0020paragraphchar"/>
          <w:rFonts w:eastAsiaTheme="majorEastAsia"/>
          <w:i/>
          <w:iCs/>
        </w:rPr>
        <w:t xml:space="preserve">Lawless Love </w:t>
      </w:r>
      <w:r>
        <w:t>by April 1, 2010 and that she wou</w:t>
      </w:r>
      <w:r w:rsidR="00A76A1A">
        <w:t xml:space="preserve">ld be paid $6,000 for the work. </w:t>
      </w:r>
      <w:proofErr w:type="spellStart"/>
      <w:r w:rsidR="00A76A1A">
        <w:lastRenderedPageBreak/>
        <w:t>Compl</w:t>
      </w:r>
      <w:proofErr w:type="spellEnd"/>
      <w:r w:rsidR="00A76A1A">
        <w:t xml:space="preserve">. </w:t>
      </w:r>
      <w:proofErr w:type="gramStart"/>
      <w:r w:rsidR="00A76A1A">
        <w:t>¶¶ 13, 15.</w:t>
      </w:r>
      <w:proofErr w:type="gramEnd"/>
      <w:r w:rsidR="00A76A1A">
        <w:t xml:space="preserve"> </w:t>
      </w:r>
      <w:r>
        <w:t>During the meeting, Dave Nelson told defendant Lime that, “Your work on the screenplay is for hire. For all intents and p</w:t>
      </w:r>
      <w:r w:rsidR="00027DAE">
        <w:t xml:space="preserve">urposes, we’ll be the author.” </w:t>
      </w:r>
      <w:proofErr w:type="spellStart"/>
      <w:r>
        <w:t>Compl</w:t>
      </w:r>
      <w:proofErr w:type="spellEnd"/>
      <w:r>
        <w:t>. ¶ 16. Lime responded that</w:t>
      </w:r>
      <w:r w:rsidR="00027DAE">
        <w:t xml:space="preserve"> she understood the agreement. </w:t>
      </w:r>
      <w:proofErr w:type="spellStart"/>
      <w:r w:rsidR="00027DAE">
        <w:t>Compl</w:t>
      </w:r>
      <w:proofErr w:type="spellEnd"/>
      <w:r w:rsidR="00027DAE">
        <w:t xml:space="preserve">. ¶ 17. </w:t>
      </w:r>
      <w:r>
        <w:t xml:space="preserve">Lime submitted a screenplay to OGS entitled “Anticipatory </w:t>
      </w:r>
      <w:r w:rsidR="00027DAE">
        <w:t xml:space="preserve">Repudiation” on April 1, 2010. </w:t>
      </w:r>
      <w:proofErr w:type="spellStart"/>
      <w:r w:rsidR="00027DAE">
        <w:t>Compl</w:t>
      </w:r>
      <w:proofErr w:type="spellEnd"/>
      <w:r w:rsidR="00027DAE">
        <w:t xml:space="preserve">.  ¶ 21. </w:t>
      </w:r>
      <w:r>
        <w:t>Prior to the creation and submission of the screenplay, OGS failed to present any kind of wri</w:t>
      </w:r>
      <w:r w:rsidR="00027DAE">
        <w:t xml:space="preserve">tten agreement to Lime. Answer ¶ 3. </w:t>
      </w:r>
      <w:r>
        <w:t xml:space="preserve">Neither party signed any documentation before the creation or submission of the screenplay for “Anticipatory Repudiation.” </w:t>
      </w:r>
      <w:r w:rsidR="00027DAE">
        <w:rPr>
          <w:i/>
        </w:rPr>
        <w:t>Id.</w:t>
      </w:r>
      <w:r w:rsidR="00027DAE">
        <w:t xml:space="preserve"> </w:t>
      </w:r>
      <w:r>
        <w:t xml:space="preserve"> On April 6, 2010, defendant Lime came to the office of OGS, where she picked up a check for $6,000 and in concert with Nelson signed a document labeled “Work-M</w:t>
      </w:r>
      <w:r w:rsidR="00027DAE">
        <w:t xml:space="preserve">ade-For-Hire Agreement.” </w:t>
      </w:r>
      <w:proofErr w:type="spellStart"/>
      <w:r w:rsidR="00027DAE">
        <w:t>Compl</w:t>
      </w:r>
      <w:proofErr w:type="spellEnd"/>
      <w:r w:rsidR="00027DAE">
        <w:t xml:space="preserve">. </w:t>
      </w:r>
      <w:proofErr w:type="gramStart"/>
      <w:r w:rsidR="00027DAE">
        <w:t>¶¶ 26, 27.</w:t>
      </w:r>
      <w:proofErr w:type="gramEnd"/>
    </w:p>
    <w:p w14:paraId="73868915" w14:textId="77777777" w:rsidR="00F87EE8" w:rsidRDefault="00F87EE8" w:rsidP="00F87EE8">
      <w:pPr>
        <w:spacing w:before="100" w:beforeAutospacing="1" w:after="100" w:afterAutospacing="1" w:line="480" w:lineRule="auto"/>
        <w:ind w:firstLine="720"/>
      </w:pPr>
      <w:r>
        <w:t xml:space="preserve">“Anticipatory Repudiation” was never performed as an episode of </w:t>
      </w:r>
      <w:r>
        <w:rPr>
          <w:i/>
        </w:rPr>
        <w:t>Lawless Love.</w:t>
      </w:r>
      <w:r w:rsidR="00027DAE">
        <w:t xml:space="preserve"> </w:t>
      </w:r>
      <w:proofErr w:type="spellStart"/>
      <w:r w:rsidR="00027DAE">
        <w:t>Compl</w:t>
      </w:r>
      <w:proofErr w:type="spellEnd"/>
      <w:r w:rsidR="00027DAE">
        <w:t>.  ¶ 26.</w:t>
      </w:r>
      <w:r>
        <w:t xml:space="preserve"> On June 1, 2010, Lime was informed that executives were unhappy with the screenplay because it was a poor fit for the show and would have been too expensive to perform. </w:t>
      </w:r>
      <w:r w:rsidR="00027DAE">
        <w:rPr>
          <w:i/>
        </w:rPr>
        <w:t>Id.</w:t>
      </w:r>
      <w:r w:rsidR="00027DAE">
        <w:t xml:space="preserve"> </w:t>
      </w:r>
      <w:r>
        <w:t xml:space="preserve"> </w:t>
      </w:r>
    </w:p>
    <w:p w14:paraId="0B45E870" w14:textId="77777777" w:rsidR="00F87EE8" w:rsidRDefault="00F87EE8" w:rsidP="00F87EE8">
      <w:pPr>
        <w:spacing w:before="100" w:beforeAutospacing="1" w:after="100" w:afterAutospacing="1" w:line="480" w:lineRule="auto"/>
      </w:pPr>
      <w:r>
        <w:tab/>
        <w:t xml:space="preserve">In August of 2010, Lime and Tiny TV began working on a new series about a submarine crew entitled </w:t>
      </w:r>
      <w:r>
        <w:rPr>
          <w:i/>
        </w:rPr>
        <w:t>The Tin Can</w:t>
      </w:r>
      <w:r w:rsidR="00027DAE">
        <w:t xml:space="preserve">. </w:t>
      </w:r>
      <w:proofErr w:type="spellStart"/>
      <w:r w:rsidR="00027DAE">
        <w:t>Compl</w:t>
      </w:r>
      <w:proofErr w:type="spellEnd"/>
      <w:r w:rsidR="00027DAE">
        <w:t xml:space="preserve">.  ¶ 28. </w:t>
      </w:r>
      <w:r>
        <w:t xml:space="preserve">On September 7, 2010, Tiny TV broadcast </w:t>
      </w:r>
      <w:r>
        <w:rPr>
          <w:i/>
        </w:rPr>
        <w:t xml:space="preserve">The Tin Can’s </w:t>
      </w:r>
      <w:r>
        <w:t xml:space="preserve">pilot episode entitled “The Love Below,” which was written by </w:t>
      </w:r>
      <w:r w:rsidR="00027DAE">
        <w:t xml:space="preserve">Lime. </w:t>
      </w:r>
      <w:proofErr w:type="spellStart"/>
      <w:r w:rsidR="00027DAE">
        <w:t>Compl</w:t>
      </w:r>
      <w:proofErr w:type="spellEnd"/>
      <w:r w:rsidR="00027DAE">
        <w:t xml:space="preserve">.  ¶ 29. </w:t>
      </w:r>
      <w:r>
        <w:t>“The Love Below” and “Anticipatory Repudiation” are two distinct screenplays for two separate television series that feature different premises, settings, character names, an</w:t>
      </w:r>
      <w:r w:rsidR="00027DAE">
        <w:t xml:space="preserve">d character occupations. </w:t>
      </w:r>
      <w:proofErr w:type="spellStart"/>
      <w:r w:rsidR="00027DAE">
        <w:t>Compl</w:t>
      </w:r>
      <w:proofErr w:type="spellEnd"/>
      <w:r w:rsidR="00027DAE">
        <w:t>.  ¶ 31.</w:t>
      </w:r>
    </w:p>
    <w:p w14:paraId="13F2C344" w14:textId="77777777" w:rsidR="00F87EE8" w:rsidRDefault="00F87EE8" w:rsidP="00F87EE8">
      <w:pPr>
        <w:spacing w:before="100" w:beforeAutospacing="1" w:after="100" w:afterAutospacing="1" w:line="480" w:lineRule="auto"/>
        <w:ind w:firstLine="720"/>
      </w:pPr>
      <w:r>
        <w:t>OGS alleges that they own the copyright to “Anticipatory Repudiation” and that “The Love Below” infr</w:t>
      </w:r>
      <w:r w:rsidR="00027DAE">
        <w:t xml:space="preserve">inges on that copyright. </w:t>
      </w:r>
      <w:proofErr w:type="spellStart"/>
      <w:r w:rsidR="00027DAE">
        <w:t>Compl</w:t>
      </w:r>
      <w:proofErr w:type="spellEnd"/>
      <w:r w:rsidR="00027DAE">
        <w:t xml:space="preserve">. </w:t>
      </w:r>
      <w:proofErr w:type="gramStart"/>
      <w:r w:rsidR="00027DAE">
        <w:t>¶¶ 22, 28.</w:t>
      </w:r>
      <w:proofErr w:type="gramEnd"/>
      <w:r w:rsidR="00027DAE">
        <w:t xml:space="preserve"> </w:t>
      </w:r>
      <w:r>
        <w:t>OGS is seeking $86,000 from defendants for lost advertising revenue and Lime’s fee for “Anticipatory Repudiati</w:t>
      </w:r>
      <w:r w:rsidR="00027DAE">
        <w:t xml:space="preserve">on.” </w:t>
      </w:r>
      <w:proofErr w:type="spellStart"/>
      <w:r w:rsidR="00027DAE">
        <w:t>Compl</w:t>
      </w:r>
      <w:proofErr w:type="spellEnd"/>
      <w:r w:rsidR="00027DAE">
        <w:t xml:space="preserve">. ¶ 30. </w:t>
      </w:r>
      <w:r>
        <w:t xml:space="preserve">The Court requested briefs on the requirements of a work “made for hire” under the </w:t>
      </w:r>
      <w:r>
        <w:lastRenderedPageBreak/>
        <w:t>Copyright Act of 1976 and the requirement of a signed writing prio</w:t>
      </w:r>
      <w:r w:rsidR="00027DAE">
        <w:t xml:space="preserve">r to the creation of the work. Ct. Order 1. </w:t>
      </w:r>
      <w:r>
        <w:t xml:space="preserve">Applying the Copyright Act of 1976 demonstrates that OGS has never had a legitimate claim to “Anticipatory Repudiation,” making Lime the true owner as its creator. </w:t>
      </w:r>
    </w:p>
    <w:p w14:paraId="6339D27B" w14:textId="77777777" w:rsidR="00820A7D" w:rsidRPr="00F87EE8" w:rsidRDefault="00820A7D" w:rsidP="00F87EE8">
      <w:pPr>
        <w:spacing w:before="100" w:beforeAutospacing="1" w:after="100" w:afterAutospacing="1"/>
        <w:jc w:val="center"/>
        <w:rPr>
          <w:b/>
          <w:u w:val="single"/>
        </w:rPr>
      </w:pPr>
      <w:r w:rsidRPr="00F87EE8">
        <w:rPr>
          <w:b/>
          <w:u w:val="single"/>
        </w:rPr>
        <w:t xml:space="preserve">SPECIALLY COMMISSIONED WORKS MADE FOR HIRE REQUIRE A SIGNED WRITING </w:t>
      </w:r>
      <w:r w:rsidR="00FB209B">
        <w:rPr>
          <w:b/>
          <w:u w:val="single"/>
        </w:rPr>
        <w:t xml:space="preserve">TO BE EXECUTED </w:t>
      </w:r>
      <w:r w:rsidRPr="00F87EE8">
        <w:rPr>
          <w:b/>
          <w:u w:val="single"/>
        </w:rPr>
        <w:t>BEFORE THE CREATION OF THE WORK</w:t>
      </w:r>
    </w:p>
    <w:p w14:paraId="3C4C9D2A" w14:textId="77777777" w:rsidR="002E5D49" w:rsidRDefault="002E5D49" w:rsidP="002E5D49"/>
    <w:p w14:paraId="62361DFC" w14:textId="77777777" w:rsidR="00F87EE8" w:rsidRDefault="00F87EE8" w:rsidP="00F87EE8">
      <w:pPr>
        <w:pStyle w:val="ListParagraph"/>
        <w:numPr>
          <w:ilvl w:val="0"/>
          <w:numId w:val="4"/>
        </w:numPr>
        <w:spacing w:line="240" w:lineRule="auto"/>
        <w:rPr>
          <w:b/>
        </w:rPr>
      </w:pPr>
      <w:r>
        <w:rPr>
          <w:b/>
        </w:rPr>
        <w:t>Applying canons of construction to the statute’s text support the requirement of a writing preceding the creation of the work</w:t>
      </w:r>
    </w:p>
    <w:p w14:paraId="5129428F" w14:textId="77777777" w:rsidR="00F87EE8" w:rsidRPr="00F87EE8" w:rsidRDefault="00F87EE8" w:rsidP="00F87EE8">
      <w:pPr>
        <w:pStyle w:val="ListParagraph"/>
        <w:spacing w:line="240" w:lineRule="auto"/>
        <w:ind w:left="1080"/>
        <w:rPr>
          <w:b/>
        </w:rPr>
      </w:pPr>
    </w:p>
    <w:p w14:paraId="36EB4503" w14:textId="77777777" w:rsidR="00DC5106" w:rsidRPr="00F87EE8" w:rsidRDefault="00642159" w:rsidP="00F87EE8">
      <w:pPr>
        <w:pStyle w:val="ListParagraph"/>
        <w:numPr>
          <w:ilvl w:val="0"/>
          <w:numId w:val="5"/>
        </w:numPr>
        <w:spacing w:line="480" w:lineRule="auto"/>
        <w:rPr>
          <w:u w:val="single"/>
        </w:rPr>
      </w:pPr>
      <w:r w:rsidRPr="00F87EE8">
        <w:rPr>
          <w:u w:val="single"/>
        </w:rPr>
        <w:t>Plain meaning</w:t>
      </w:r>
    </w:p>
    <w:p w14:paraId="7AC34E7E" w14:textId="77777777" w:rsidR="00027DC1" w:rsidRDefault="00DC5106" w:rsidP="00F87EE8">
      <w:pPr>
        <w:spacing w:after="240" w:line="480" w:lineRule="auto"/>
        <w:rPr>
          <w:rStyle w:val="cohl"/>
        </w:rPr>
      </w:pPr>
      <w:r>
        <w:tab/>
        <w:t xml:space="preserve">The first step in analyzing any statute is to evaluate the words as they are ordinarily used in the English language. </w:t>
      </w:r>
      <w:bookmarkStart w:id="2" w:name="CITRUS_BOOKMARK28"/>
      <w:proofErr w:type="spellStart"/>
      <w:proofErr w:type="gramStart"/>
      <w:r w:rsidR="00981E9E" w:rsidRPr="000019C1">
        <w:rPr>
          <w:i/>
          <w:iCs/>
        </w:rPr>
        <w:t>Caminetti</w:t>
      </w:r>
      <w:proofErr w:type="spellEnd"/>
      <w:r w:rsidR="00981E9E" w:rsidRPr="000019C1">
        <w:rPr>
          <w:i/>
          <w:iCs/>
        </w:rPr>
        <w:t xml:space="preserve"> v. United States</w:t>
      </w:r>
      <w:r w:rsidR="00981E9E" w:rsidRPr="00981E9E">
        <w:rPr>
          <w:iCs/>
        </w:rPr>
        <w:t>,</w:t>
      </w:r>
      <w:r w:rsidR="00981E9E" w:rsidRPr="00981E9E">
        <w:t xml:space="preserve"> 242 U.S. 470 (1917)</w:t>
      </w:r>
      <w:bookmarkEnd w:id="2"/>
      <w:r w:rsidR="00981E9E">
        <w:t>.</w:t>
      </w:r>
      <w:proofErr w:type="gramEnd"/>
      <w:r w:rsidR="00981E9E">
        <w:t xml:space="preserve"> </w:t>
      </w:r>
      <w:r>
        <w:t xml:space="preserve">If the statute is unambiguous, then the statutory interpretation need not go any further and the court can apply the statute as it is plainly stated. However, the presence of any ambiguities </w:t>
      </w:r>
      <w:r w:rsidR="00C244EB">
        <w:t>indicates that</w:t>
      </w:r>
      <w:r>
        <w:t xml:space="preserve"> a deeper analysis</w:t>
      </w:r>
      <w:r w:rsidR="00C244EB">
        <w:t xml:space="preserve"> is required</w:t>
      </w:r>
      <w:r>
        <w:t xml:space="preserve">. The Copyright Act’s definition of a “work made for hire” </w:t>
      </w:r>
      <w:r w:rsidR="00CA4F3E">
        <w:t xml:space="preserve">creates </w:t>
      </w:r>
      <w:r w:rsidR="00C244EB">
        <w:t>an explicit framework for distinguishing an ordinary work from a work made for hire. In the statute’s chapter on ownership, it is clearly articulated that “</w:t>
      </w:r>
      <w:r w:rsidR="004B0E6C">
        <w:t>[c]</w:t>
      </w:r>
      <w:proofErr w:type="spellStart"/>
      <w:r w:rsidR="00C244EB">
        <w:t>opyright</w:t>
      </w:r>
      <w:proofErr w:type="spellEnd"/>
      <w:r w:rsidR="00C244EB">
        <w:t xml:space="preserve"> in a work protected under this title vests initially in the author or authors of the work.” </w:t>
      </w:r>
      <w:bookmarkStart w:id="3" w:name="CITRUS_BOOKMARK5"/>
      <w:proofErr w:type="gramStart"/>
      <w:r w:rsidR="00C244EB" w:rsidRPr="00CA4F3E">
        <w:t>17 U.S.C. § 201 (2006)</w:t>
      </w:r>
      <w:bookmarkEnd w:id="3"/>
      <w:r w:rsidR="00CA4F3E">
        <w:t>.</w:t>
      </w:r>
      <w:proofErr w:type="gramEnd"/>
      <w:r w:rsidR="00C244EB">
        <w:t xml:space="preserve"> A work made for hire is </w:t>
      </w:r>
      <w:r w:rsidR="004B0E6C">
        <w:t>unique</w:t>
      </w:r>
      <w:r w:rsidR="00C244EB">
        <w:t xml:space="preserve"> because </w:t>
      </w:r>
      <w:r w:rsidR="00C244EB">
        <w:rPr>
          <w:rStyle w:val="cohl"/>
        </w:rPr>
        <w:t xml:space="preserve">the employer or other person for whom the work was prepared is </w:t>
      </w:r>
      <w:r w:rsidR="004B0E6C">
        <w:rPr>
          <w:rStyle w:val="cohl"/>
        </w:rPr>
        <w:t xml:space="preserve">regarded as the </w:t>
      </w:r>
      <w:r w:rsidR="00C244EB">
        <w:rPr>
          <w:rStyle w:val="cohl"/>
        </w:rPr>
        <w:t xml:space="preserve">author </w:t>
      </w:r>
      <w:r w:rsidR="00027DC1">
        <w:rPr>
          <w:rStyle w:val="cohl"/>
        </w:rPr>
        <w:t xml:space="preserve">and </w:t>
      </w:r>
      <w:r w:rsidR="00C244EB">
        <w:rPr>
          <w:rStyle w:val="cohl"/>
        </w:rPr>
        <w:t>owns all of the rights in the copyright.</w:t>
      </w:r>
      <w:r w:rsidR="00027DC1">
        <w:rPr>
          <w:rStyle w:val="cohl"/>
        </w:rPr>
        <w:t xml:space="preserve"> </w:t>
      </w:r>
      <w:bookmarkStart w:id="4" w:name="CITRUS_BOOKMARK12"/>
      <w:r w:rsidR="00027DC1" w:rsidRPr="000019C1">
        <w:rPr>
          <w:rStyle w:val="cohl"/>
          <w:i/>
        </w:rPr>
        <w:t>Id.</w:t>
      </w:r>
      <w:bookmarkEnd w:id="4"/>
      <w:r w:rsidR="00027DC1">
        <w:rPr>
          <w:rStyle w:val="cohl"/>
        </w:rPr>
        <w:t xml:space="preserve"> The chapter on definitions in the statute lays out the elements that must be satisfied in order</w:t>
      </w:r>
      <w:r w:rsidR="00BC0403">
        <w:rPr>
          <w:rStyle w:val="cohl"/>
        </w:rPr>
        <w:t xml:space="preserve"> to create a work made for hire.</w:t>
      </w:r>
    </w:p>
    <w:p w14:paraId="31A71FC6" w14:textId="77777777" w:rsidR="00BC0403" w:rsidRDefault="00BC0403" w:rsidP="00F87EE8">
      <w:pPr>
        <w:spacing w:line="480" w:lineRule="auto"/>
        <w:rPr>
          <w:rStyle w:val="cohl"/>
        </w:rPr>
      </w:pPr>
      <w:r>
        <w:rPr>
          <w:rStyle w:val="cohl"/>
        </w:rPr>
        <w:tab/>
        <w:t xml:space="preserve">There are two types of works made for hire: (1) a work prepared by an employee within the scope of his or her employment and (2) a work specially ordered or commissioned. </w:t>
      </w:r>
      <w:proofErr w:type="gramStart"/>
      <w:r>
        <w:rPr>
          <w:rStyle w:val="cohl"/>
        </w:rPr>
        <w:t>(</w:t>
      </w:r>
      <w:bookmarkStart w:id="5" w:name="CITRUS_BOOKMARK10"/>
      <w:r w:rsidR="000F15D2" w:rsidRPr="000019C1">
        <w:rPr>
          <w:rStyle w:val="cohl"/>
          <w:i/>
        </w:rPr>
        <w:t>Id.</w:t>
      </w:r>
      <w:r w:rsidR="000F15D2">
        <w:rPr>
          <w:rStyle w:val="cohl"/>
        </w:rPr>
        <w:t xml:space="preserve"> § 101</w:t>
      </w:r>
      <w:bookmarkEnd w:id="5"/>
      <w:r>
        <w:rPr>
          <w:rStyle w:val="cohl"/>
        </w:rPr>
        <w:t>).</w:t>
      </w:r>
      <w:proofErr w:type="gramEnd"/>
      <w:r>
        <w:rPr>
          <w:rStyle w:val="cohl"/>
        </w:rPr>
        <w:t xml:space="preserve"> In the present case, </w:t>
      </w:r>
      <w:r w:rsidR="00CA4F3E">
        <w:rPr>
          <w:rStyle w:val="cohl"/>
        </w:rPr>
        <w:t>both parties acknowledge</w:t>
      </w:r>
      <w:r>
        <w:rPr>
          <w:rStyle w:val="cohl"/>
        </w:rPr>
        <w:t xml:space="preserve"> that Lime was specially ordered by OGS to create a screenplay. Therefore, the second subsection of the work made for hire</w:t>
      </w:r>
      <w:r w:rsidR="005E746A">
        <w:rPr>
          <w:rStyle w:val="cohl"/>
        </w:rPr>
        <w:t xml:space="preserve"> doctrine</w:t>
      </w:r>
      <w:r>
        <w:rPr>
          <w:rStyle w:val="cohl"/>
        </w:rPr>
        <w:t xml:space="preserve"> is in </w:t>
      </w:r>
      <w:r>
        <w:rPr>
          <w:rStyle w:val="cohl"/>
        </w:rPr>
        <w:lastRenderedPageBreak/>
        <w:t>force. There are three necessary elements to create a work made for hire when it is not prepared by an employee with the scope of his or her employment.</w:t>
      </w:r>
    </w:p>
    <w:p w14:paraId="737ACD43" w14:textId="77777777" w:rsidR="00BC0403" w:rsidRDefault="00BC0403" w:rsidP="00F87EE8">
      <w:pPr>
        <w:pStyle w:val="ListParagraph"/>
        <w:numPr>
          <w:ilvl w:val="0"/>
          <w:numId w:val="3"/>
        </w:numPr>
        <w:spacing w:line="480" w:lineRule="auto"/>
      </w:pPr>
      <w:r>
        <w:t>The work must be specially ordered or commissioned</w:t>
      </w:r>
      <w:r w:rsidR="00DE0BD0">
        <w:t>.</w:t>
      </w:r>
      <w:r>
        <w:t xml:space="preserve"> </w:t>
      </w:r>
    </w:p>
    <w:p w14:paraId="4921777A" w14:textId="77777777" w:rsidR="00BC0403" w:rsidRDefault="00BC0403" w:rsidP="00F87EE8">
      <w:pPr>
        <w:pStyle w:val="ListParagraph"/>
        <w:numPr>
          <w:ilvl w:val="0"/>
          <w:numId w:val="3"/>
        </w:numPr>
        <w:spacing w:line="480" w:lineRule="auto"/>
      </w:pPr>
      <w:r>
        <w:t xml:space="preserve">The work must fit into one of the following nine enumerated categories: </w:t>
      </w:r>
      <w:r>
        <w:rPr>
          <w:rStyle w:val="cohl"/>
        </w:rPr>
        <w:t>a contribution to a collective work, part of a motion picture or other audiovisual work, a translation, a supplementary work, a compilation, an instructional text, a test, answer material for a test, or as an atlas</w:t>
      </w:r>
      <w:r>
        <w:t>.</w:t>
      </w:r>
      <w:r w:rsidR="005E746A">
        <w:rPr>
          <w:rStyle w:val="FootnoteReference"/>
        </w:rPr>
        <w:footnoteReference w:id="1"/>
      </w:r>
    </w:p>
    <w:p w14:paraId="23F17224" w14:textId="77777777" w:rsidR="00BC0403" w:rsidRDefault="00DE0BD0" w:rsidP="00F87EE8">
      <w:pPr>
        <w:pStyle w:val="ListParagraph"/>
        <w:numPr>
          <w:ilvl w:val="0"/>
          <w:numId w:val="3"/>
        </w:numPr>
        <w:spacing w:line="480" w:lineRule="auto"/>
        <w:rPr>
          <w:rStyle w:val="cohl"/>
        </w:rPr>
      </w:pPr>
      <w:r>
        <w:rPr>
          <w:rStyle w:val="cohl"/>
        </w:rPr>
        <w:t xml:space="preserve">The parties </w:t>
      </w:r>
      <w:r w:rsidR="004B0E6C">
        <w:rPr>
          <w:rStyle w:val="cohl"/>
        </w:rPr>
        <w:t xml:space="preserve">must </w:t>
      </w:r>
      <w:r>
        <w:rPr>
          <w:rStyle w:val="cohl"/>
        </w:rPr>
        <w:t xml:space="preserve">expressly agree in a written instrument signed by them that the work shall be considered a work made for hire. </w:t>
      </w:r>
      <w:bookmarkStart w:id="6" w:name="CITRUS_BOOKMARK13"/>
      <w:r w:rsidRPr="000019C1">
        <w:rPr>
          <w:rStyle w:val="cohl"/>
          <w:i/>
        </w:rPr>
        <w:t>Id.</w:t>
      </w:r>
      <w:bookmarkEnd w:id="6"/>
      <w:r>
        <w:rPr>
          <w:rStyle w:val="cohl"/>
        </w:rPr>
        <w:t xml:space="preserve"> </w:t>
      </w:r>
    </w:p>
    <w:p w14:paraId="00B49B5C" w14:textId="77777777" w:rsidR="00DE0BD0" w:rsidRDefault="00DE0BD0" w:rsidP="00F87EE8">
      <w:pPr>
        <w:spacing w:line="480" w:lineRule="auto"/>
        <w:ind w:firstLine="720"/>
      </w:pPr>
      <w:r>
        <w:t>The statute does not explicitly state that the writing must precede the creation of the work, but this can be implied from the structure and organization</w:t>
      </w:r>
      <w:r w:rsidR="00696AF2">
        <w:t xml:space="preserve"> </w:t>
      </w:r>
      <w:r w:rsidR="005C28B9">
        <w:t>of the text</w:t>
      </w:r>
      <w:r w:rsidR="00696AF2">
        <w:t xml:space="preserve">. </w:t>
      </w:r>
      <w:r w:rsidR="005C28B9">
        <w:t>According to the definition, e</w:t>
      </w:r>
      <w:r w:rsidR="00696AF2">
        <w:t xml:space="preserve">ach of the elements listed above must be established in order to create a work made for hire. If one of the elements is missing, then a purported work made for hire </w:t>
      </w:r>
      <w:r w:rsidR="009265DF">
        <w:t>is</w:t>
      </w:r>
      <w:r w:rsidR="00696AF2">
        <w:t xml:space="preserve"> not created. </w:t>
      </w:r>
      <w:r w:rsidR="005C28B9">
        <w:t xml:space="preserve">The use of the word “shall” following the phrase “in a written instrument signed by them” could </w:t>
      </w:r>
      <w:r w:rsidR="009265DF">
        <w:t>create</w:t>
      </w:r>
      <w:r w:rsidR="005C28B9">
        <w:t xml:space="preserve"> more ambiguity over </w:t>
      </w:r>
      <w:r w:rsidR="004B0E6C">
        <w:t>what point in time</w:t>
      </w:r>
      <w:r w:rsidR="005C28B9">
        <w:t xml:space="preserve"> the written instrument must occur in relation to the creation of the actual work. </w:t>
      </w:r>
      <w:bookmarkStart w:id="7" w:name="CITRUS_BOOKMARK8"/>
      <w:r w:rsidR="005C28B9" w:rsidRPr="000019C1">
        <w:rPr>
          <w:i/>
        </w:rPr>
        <w:t>Black's Law Dictionary</w:t>
      </w:r>
      <w:r w:rsidR="005C28B9" w:rsidRPr="00573D34">
        <w:t xml:space="preserve"> (9th ed. 2009)</w:t>
      </w:r>
      <w:bookmarkEnd w:id="7"/>
      <w:r w:rsidR="005C28B9">
        <w:t xml:space="preserve"> lists the first definition of the word “shall” as an indication of a duty or requirement. It states “</w:t>
      </w:r>
      <w:r w:rsidR="00B7176C">
        <w:t>[t]</w:t>
      </w:r>
      <w:r w:rsidR="005C28B9" w:rsidRPr="00573D34">
        <w:t>his is the mandatory sense that drafters typically intend and that courts typically uphold</w:t>
      </w:r>
      <w:r w:rsidR="005C28B9">
        <w:t xml:space="preserve">.” </w:t>
      </w:r>
      <w:bookmarkStart w:id="8" w:name="CITRUS_BOOKMARK14"/>
      <w:r w:rsidR="005C28B9" w:rsidRPr="000019C1">
        <w:rPr>
          <w:i/>
        </w:rPr>
        <w:t>Id.</w:t>
      </w:r>
      <w:bookmarkEnd w:id="8"/>
      <w:r w:rsidR="005C28B9">
        <w:t xml:space="preserve"> The fourth definition recognizes that the word can also mean “will” when it is intended to be used as a future tense verb. It could be argued </w:t>
      </w:r>
      <w:r w:rsidR="00ED3530">
        <w:t>that this temporal element to the word support</w:t>
      </w:r>
      <w:r w:rsidR="00F3456E">
        <w:t>s</w:t>
      </w:r>
      <w:r w:rsidR="00ED3530">
        <w:t xml:space="preserve"> the Plaintiff’s position that the writing requirement can be satisfied at some point in the future, </w:t>
      </w:r>
      <w:r w:rsidR="004B0E6C">
        <w:t xml:space="preserve">even </w:t>
      </w:r>
      <w:r w:rsidR="00ED3530">
        <w:t xml:space="preserve">after the work in </w:t>
      </w:r>
      <w:r w:rsidR="00ED3530">
        <w:lastRenderedPageBreak/>
        <w:t xml:space="preserve">question has already been created. This position fails to recognize that there is no context in the plain </w:t>
      </w:r>
      <w:r w:rsidR="004B0E6C">
        <w:t>language</w:t>
      </w:r>
      <w:r w:rsidR="00ED3530">
        <w:t xml:space="preserve"> of the statute to justify reading “shall” in the future tense as opposed to the more conventional mandatory sense of the word. </w:t>
      </w:r>
    </w:p>
    <w:p w14:paraId="2BB8C874" w14:textId="77777777" w:rsidR="00340CE7" w:rsidRDefault="00B7176C" w:rsidP="00F87EE8">
      <w:pPr>
        <w:spacing w:line="480" w:lineRule="auto"/>
        <w:ind w:firstLine="720"/>
      </w:pPr>
      <w:r>
        <w:t xml:space="preserve">Using a plain meaning approach, the enumeration of these specific elements to create a work made for hire supports the notion that the writing must precede the creation of the work. It is unambiguously stated in the definitions chapter of the statute that a work made for hire must either be prepared within the scope of employment or be specially commissioned, fall into one of the nine categories, and have an express writing. If one of these elements is not present once the work is created, then the work cannot be considered as made for hire. </w:t>
      </w:r>
    </w:p>
    <w:p w14:paraId="6AEECE2D" w14:textId="77777777" w:rsidR="00B7176C" w:rsidRPr="00F87EE8" w:rsidRDefault="00B7176C" w:rsidP="00F87EE8">
      <w:pPr>
        <w:pStyle w:val="ListParagraph"/>
        <w:numPr>
          <w:ilvl w:val="0"/>
          <w:numId w:val="5"/>
        </w:numPr>
        <w:spacing w:line="480" w:lineRule="auto"/>
        <w:rPr>
          <w:u w:val="single"/>
        </w:rPr>
      </w:pPr>
      <w:proofErr w:type="spellStart"/>
      <w:r w:rsidRPr="00F87EE8">
        <w:rPr>
          <w:i/>
          <w:iCs/>
          <w:u w:val="single"/>
        </w:rPr>
        <w:t>Noscitur</w:t>
      </w:r>
      <w:proofErr w:type="spellEnd"/>
      <w:r w:rsidRPr="00F87EE8">
        <w:rPr>
          <w:i/>
          <w:iCs/>
          <w:u w:val="single"/>
        </w:rPr>
        <w:t xml:space="preserve"> a </w:t>
      </w:r>
      <w:proofErr w:type="spellStart"/>
      <w:r w:rsidRPr="00F87EE8">
        <w:rPr>
          <w:i/>
          <w:iCs/>
          <w:u w:val="single"/>
        </w:rPr>
        <w:t>sociis</w:t>
      </w:r>
      <w:proofErr w:type="spellEnd"/>
      <w:r w:rsidRPr="00F87EE8">
        <w:rPr>
          <w:u w:val="single"/>
        </w:rPr>
        <w:t xml:space="preserve"> ("a word is known by the company it keeps")</w:t>
      </w:r>
    </w:p>
    <w:p w14:paraId="666876FD" w14:textId="77777777" w:rsidR="00B7176C" w:rsidRDefault="00D3417F" w:rsidP="00F87EE8">
      <w:pPr>
        <w:spacing w:line="480" w:lineRule="auto"/>
        <w:ind w:firstLine="720"/>
      </w:pPr>
      <w:r>
        <w:t>This canon dictates that w</w:t>
      </w:r>
      <w:r w:rsidR="00B7176C" w:rsidRPr="00642159">
        <w:t>hen a word is ambiguous, its meaning may be determined by reference to the rest of the statute.</w:t>
      </w:r>
      <w:r>
        <w:t xml:space="preserve"> </w:t>
      </w:r>
      <w:bookmarkStart w:id="9" w:name="CITRUS_BOOKMARK29"/>
      <w:proofErr w:type="spellStart"/>
      <w:proofErr w:type="gramStart"/>
      <w:r w:rsidR="00981E9E" w:rsidRPr="000019C1">
        <w:rPr>
          <w:rStyle w:val="Emphasis"/>
          <w:rFonts w:eastAsiaTheme="majorEastAsia"/>
        </w:rPr>
        <w:t>Jarecki</w:t>
      </w:r>
      <w:proofErr w:type="spellEnd"/>
      <w:r w:rsidR="00981E9E" w:rsidRPr="000019C1">
        <w:rPr>
          <w:rStyle w:val="Emphasis"/>
          <w:rFonts w:eastAsiaTheme="majorEastAsia"/>
        </w:rPr>
        <w:t xml:space="preserve"> v. G.D. Searle &amp; Co.</w:t>
      </w:r>
      <w:r w:rsidR="00981E9E">
        <w:rPr>
          <w:rStyle w:val="Emphasis"/>
          <w:rFonts w:eastAsiaTheme="majorEastAsia"/>
          <w:i w:val="0"/>
        </w:rPr>
        <w:t>, 367 U.S. 303 (1961)</w:t>
      </w:r>
      <w:bookmarkEnd w:id="9"/>
      <w:r w:rsidR="00981E9E">
        <w:t>.</w:t>
      </w:r>
      <w:proofErr w:type="gramEnd"/>
      <w:r w:rsidR="00981E9E">
        <w:t xml:space="preserve"> </w:t>
      </w:r>
      <w:r>
        <w:t xml:space="preserve">The work made for hire definition and requirements operate within the greater sphere of the Copyright Act. Other sections of the statute provide context that further supports a requirement that the signed written agreement be executed before the creation of the work in made for hire situations. </w:t>
      </w:r>
    </w:p>
    <w:p w14:paraId="50A9BA06" w14:textId="77777777" w:rsidR="00615844" w:rsidRDefault="00AC20BE" w:rsidP="00F87EE8">
      <w:pPr>
        <w:spacing w:after="240" w:line="480" w:lineRule="auto"/>
        <w:ind w:firstLine="720"/>
      </w:pPr>
      <w:r>
        <w:t>Unreasonable ambiguities over copyright ownership are created when the writing requirement is allowed to come after the creation of the work. “A work is ‘created’</w:t>
      </w:r>
      <w:r w:rsidR="00D3417F">
        <w:t xml:space="preserve"> when it is fixed in a copy or </w:t>
      </w:r>
      <w:proofErr w:type="spellStart"/>
      <w:r w:rsidR="00D3417F">
        <w:t>phonorecord</w:t>
      </w:r>
      <w:proofErr w:type="spellEnd"/>
      <w:r w:rsidR="00D3417F">
        <w:t xml:space="preserve"> for the first time; where a work is prepared over a period of time, the portion of it that has been fixed at any particular time constitutes the work as of that time</w:t>
      </w:r>
      <w:r w:rsidR="00156837">
        <w:t>.</w:t>
      </w:r>
      <w:r>
        <w:t>”</w:t>
      </w:r>
      <w:r w:rsidR="00D3417F">
        <w:t xml:space="preserve"> </w:t>
      </w:r>
      <w:proofErr w:type="gramStart"/>
      <w:r w:rsidR="00D3417F">
        <w:t>(</w:t>
      </w:r>
      <w:bookmarkStart w:id="10" w:name="CITRUS_BOOKMARK17"/>
      <w:r w:rsidR="00156837">
        <w:t>17 U.S.C. § 101</w:t>
      </w:r>
      <w:bookmarkEnd w:id="10"/>
      <w:r w:rsidR="00156837">
        <w:t>.</w:t>
      </w:r>
      <w:r w:rsidR="00D3417F">
        <w:t>)</w:t>
      </w:r>
      <w:r w:rsidR="00156837">
        <w:t>.</w:t>
      </w:r>
      <w:proofErr w:type="gramEnd"/>
      <w:r w:rsidR="00156837">
        <w:t xml:space="preserve"> </w:t>
      </w:r>
      <w:r>
        <w:t>As reference</w:t>
      </w:r>
      <w:r w:rsidR="009265DF">
        <w:t>d</w:t>
      </w:r>
      <w:r>
        <w:t xml:space="preserve"> above, the chapter on ownership in the statute dictates that copyright initially </w:t>
      </w:r>
      <w:r w:rsidR="009265DF">
        <w:t xml:space="preserve">vests with the author. In the most typical situation, an author would create a work and be considered the owner of the copyright. A work made for hire is a deviation </w:t>
      </w:r>
      <w:r w:rsidR="006206F5">
        <w:t>from</w:t>
      </w:r>
      <w:r w:rsidR="009265DF">
        <w:t xml:space="preserve"> this scheme. The </w:t>
      </w:r>
      <w:r w:rsidR="006206F5">
        <w:t>creator</w:t>
      </w:r>
      <w:r w:rsidR="009265DF">
        <w:t xml:space="preserve"> is either an employee or </w:t>
      </w:r>
      <w:r w:rsidR="006206F5">
        <w:t>someone</w:t>
      </w:r>
      <w:r w:rsidR="009265DF">
        <w:t xml:space="preserve"> commissioned to create a work, and </w:t>
      </w:r>
      <w:r w:rsidR="009265DF">
        <w:lastRenderedPageBreak/>
        <w:t xml:space="preserve">the employer/commissioner is the true “author” and owner of the copyright. </w:t>
      </w:r>
      <w:r w:rsidR="00CD7B58">
        <w:t>Applied to the facts of the issue</w:t>
      </w:r>
      <w:r w:rsidR="003E4EBB">
        <w:t xml:space="preserve"> before the court</w:t>
      </w:r>
      <w:r w:rsidR="00CD7B58">
        <w:t xml:space="preserve">, </w:t>
      </w:r>
      <w:r w:rsidR="00C16D2C">
        <w:t xml:space="preserve">it is unclear </w:t>
      </w:r>
      <w:r w:rsidR="00CD7B58">
        <w:t>who owned the copyright of “Anticipatory Repudiation” between August 1, 2010 when the work was created and August 6, 2010 when the “Work-Made-For-Hire Agreement” was signed</w:t>
      </w:r>
      <w:r w:rsidR="00C16D2C">
        <w:t>.</w:t>
      </w:r>
      <w:r w:rsidR="00CD7B58">
        <w:t xml:space="preserve"> </w:t>
      </w:r>
      <w:r w:rsidR="003E4EBB">
        <w:t>Without the signed agreement, the screenplay could not be a work made for hire as defined by the statue. There had only been oral arrangements between Lime and OGS at that time, and no payment had</w:t>
      </w:r>
      <w:r w:rsidR="006206F5">
        <w:t xml:space="preserve"> been exchanged. Since OGS did not satisfy the requirements to create a work made for hire during this time frame, Lime should </w:t>
      </w:r>
      <w:r w:rsidR="00C16D2C">
        <w:t xml:space="preserve">have </w:t>
      </w:r>
      <w:r w:rsidR="006206F5">
        <w:t>be</w:t>
      </w:r>
      <w:r w:rsidR="00C16D2C">
        <w:t>en</w:t>
      </w:r>
      <w:r w:rsidR="006206F5">
        <w:t xml:space="preserve"> considered the true author and owner of the copyright</w:t>
      </w:r>
      <w:r w:rsidR="00C16D2C">
        <w:t xml:space="preserve"> for those dates</w:t>
      </w:r>
      <w:r w:rsidR="006206F5">
        <w:t>.</w:t>
      </w:r>
    </w:p>
    <w:p w14:paraId="1A526A86" w14:textId="77777777" w:rsidR="00615844" w:rsidRDefault="00615844" w:rsidP="00F87EE8">
      <w:pPr>
        <w:spacing w:after="240" w:line="480" w:lineRule="auto"/>
        <w:ind w:firstLine="720"/>
      </w:pPr>
      <w:r>
        <w:t>The uncertainty of ownership continues even after the “Work-Made-For-Hire Agreement” was signed. At the time “Anticipatory Repudiation” was created, Lime was the only individual who could claim authorship and thus copyright title of the work. This raises questions over the transfer of copyright. The statute reads “</w:t>
      </w:r>
      <w:r w:rsidR="00C16D2C">
        <w:t>[a]</w:t>
      </w:r>
      <w:r>
        <w:t xml:space="preserve"> transfer of copyright ownership, other than by operation of law, is not valid unless an instrument of conveyance, or a note or memorandum of the transfer, is in writing and signed by the owner of the rights conveyed or such owner's duly authorized agent.”(</w:t>
      </w:r>
      <w:bookmarkStart w:id="11" w:name="CITRUS_BOOKMARK18"/>
      <w:r w:rsidRPr="000019C1">
        <w:rPr>
          <w:i/>
        </w:rPr>
        <w:t>Id.</w:t>
      </w:r>
      <w:r>
        <w:t xml:space="preserve"> § 204</w:t>
      </w:r>
      <w:bookmarkEnd w:id="11"/>
      <w:r>
        <w:t xml:space="preserve">.) Can the “Work-Made-For-Hire Agreement” that Lime and OGS signed serve as both a document creating a work made for hire and as a transfer of copyright? Again, allowing the writing requirement for a work made </w:t>
      </w:r>
      <w:r w:rsidR="00ED48EB">
        <w:t xml:space="preserve">for hire </w:t>
      </w:r>
      <w:r>
        <w:t xml:space="preserve">to come after the work’s creation distorts the entire process. In a work made for hire, the employee or commissioned worker never has </w:t>
      </w:r>
      <w:r w:rsidR="00ED48EB">
        <w:t xml:space="preserve">true authorship of the work. In a transfer of copyright, the creator of a work assigns those rights to another party. Accepting the writing requirement after the creation of the work would </w:t>
      </w:r>
      <w:r w:rsidR="00ED48EB">
        <w:rPr>
          <w:rStyle w:val="queryh1"/>
        </w:rPr>
        <w:t xml:space="preserve">amalgamate these two distinct areas of the Copyright Act into one amorphous cluster. Further, this interpretation would cause significant portions of the text to be redundant. Applied to the facts of our case, would the signed </w:t>
      </w:r>
      <w:r w:rsidR="00ED48EB">
        <w:t xml:space="preserve">Work-Made-For-Hire Agreement serve a dual </w:t>
      </w:r>
      <w:r w:rsidR="00ED48EB">
        <w:lastRenderedPageBreak/>
        <w:t xml:space="preserve">purpose to create a work made for hire as well as transfer copyright from Lime to OGS? </w:t>
      </w:r>
      <w:r w:rsidR="00340CE7">
        <w:t xml:space="preserve">Requiring the written agreement to precede creation </w:t>
      </w:r>
      <w:r w:rsidR="00C16D2C">
        <w:t>of the</w:t>
      </w:r>
      <w:r w:rsidR="00340CE7">
        <w:t xml:space="preserve"> work </w:t>
      </w:r>
      <w:r w:rsidR="00C16D2C">
        <w:t xml:space="preserve">in </w:t>
      </w:r>
      <w:r w:rsidR="00340CE7">
        <w:t xml:space="preserve">made for hire situations alleviates these ambiguities. When all of the elements of the work made for hire definition are satisfied before the creation of the work, </w:t>
      </w:r>
      <w:r w:rsidR="00C16D2C">
        <w:t>there is little doubt</w:t>
      </w:r>
      <w:r w:rsidR="00340CE7">
        <w:t xml:space="preserve"> that the employer or commissioning party is the author for copyright purposes</w:t>
      </w:r>
      <w:r w:rsidR="00C16D2C">
        <w:t xml:space="preserve"> (absent extenuating circumstances)</w:t>
      </w:r>
      <w:r w:rsidR="00340CE7">
        <w:t xml:space="preserve">. Even if there is a failure to satisfy these elements before the work is created, there is a separate process to transfer copyright from the creator/author to another party. By keeping these concepts separate, it is much easier to identify who </w:t>
      </w:r>
      <w:r w:rsidR="00C16D2C">
        <w:t>is the owner of a work</w:t>
      </w:r>
      <w:r w:rsidR="00340CE7">
        <w:t xml:space="preserve"> at any given point in time</w:t>
      </w:r>
      <w:r w:rsidR="00C16D2C">
        <w:t xml:space="preserve"> and creates greater confidence in both parties. </w:t>
      </w:r>
    </w:p>
    <w:p w14:paraId="66CD5132" w14:textId="77777777" w:rsidR="00340CE7" w:rsidRPr="00F87EE8" w:rsidRDefault="006206F5" w:rsidP="00F87EE8">
      <w:pPr>
        <w:pStyle w:val="ListParagraph"/>
        <w:numPr>
          <w:ilvl w:val="0"/>
          <w:numId w:val="5"/>
        </w:numPr>
        <w:spacing w:line="480" w:lineRule="auto"/>
        <w:rPr>
          <w:u w:val="single"/>
        </w:rPr>
      </w:pPr>
      <w:r w:rsidRPr="00F87EE8">
        <w:rPr>
          <w:u w:val="single"/>
        </w:rPr>
        <w:t>Rule of Lenity </w:t>
      </w:r>
    </w:p>
    <w:p w14:paraId="6DB0E60B" w14:textId="77777777" w:rsidR="00471C4C" w:rsidRDefault="00DF0C91" w:rsidP="00FA5AC3">
      <w:pPr>
        <w:spacing w:line="480" w:lineRule="auto"/>
        <w:ind w:firstLine="720"/>
      </w:pPr>
      <w:r>
        <w:t xml:space="preserve">This canon of construction generally requires courts reviewing ambiguous statutes in the context of criminal cases to construe those statutes in the </w:t>
      </w:r>
      <w:r>
        <w:rPr>
          <w:rStyle w:val="costarpage"/>
          <w:rFonts w:eastAsiaTheme="majorEastAsia"/>
        </w:rPr>
        <w:t>defendant’s</w:t>
      </w:r>
      <w:r>
        <w:t xml:space="preserve"> favor.</w:t>
      </w:r>
      <w:r>
        <w:rPr>
          <w:vertAlign w:val="superscript"/>
        </w:rPr>
        <w:t xml:space="preserve"> </w:t>
      </w:r>
      <w:r>
        <w:t>The Supreme Court has applied the rule of lenity to resolve not only criminal cases but also civil cases where the statute in question could be used as a basis for criminal prosecution.</w:t>
      </w:r>
      <w:r w:rsidRPr="002E5D49">
        <w:t xml:space="preserve"> </w:t>
      </w:r>
      <w:r>
        <w:t xml:space="preserve">See </w:t>
      </w:r>
      <w:r w:rsidRPr="00DF0C91">
        <w:rPr>
          <w:i/>
        </w:rPr>
        <w:t>Clark v. Martinez</w:t>
      </w:r>
      <w:r w:rsidRPr="00DF0C91">
        <w:t>, 543 U.S. 371 (2005)</w:t>
      </w:r>
      <w:r w:rsidR="00CA4F3E">
        <w:t>. Criminal o</w:t>
      </w:r>
      <w:r>
        <w:t>ffenses are included in the fifth chapter of the Copyright Act under Copyright Infringement and Remedies. (</w:t>
      </w:r>
      <w:bookmarkStart w:id="12" w:name="CITRUS_BOOKMARK19"/>
      <w:r w:rsidRPr="000019C1">
        <w:rPr>
          <w:i/>
        </w:rPr>
        <w:t>Id.</w:t>
      </w:r>
      <w:r>
        <w:t xml:space="preserve"> § 506</w:t>
      </w:r>
      <w:bookmarkEnd w:id="12"/>
      <w:r w:rsidR="0069729F">
        <w:t>.) This canon would therefore favor construing the ambiguous question of when the writing must be signed in order to create a work made for hi</w:t>
      </w:r>
      <w:r w:rsidR="00C16D2C">
        <w:t>re in favor of the defendant. Therefore, it should be</w:t>
      </w:r>
      <w:r w:rsidR="0069729F">
        <w:t xml:space="preserve"> require</w:t>
      </w:r>
      <w:r w:rsidR="00C16D2C">
        <w:t>d</w:t>
      </w:r>
      <w:r w:rsidR="0069729F">
        <w:t xml:space="preserve"> that the writing pr</w:t>
      </w:r>
      <w:r w:rsidR="00FA5AC3">
        <w:t>ecede the creation of the work.</w:t>
      </w:r>
    </w:p>
    <w:p w14:paraId="36763001" w14:textId="77777777" w:rsidR="00471C4C" w:rsidRPr="00FB209B" w:rsidRDefault="00471C4C" w:rsidP="00FB209B">
      <w:pPr>
        <w:pStyle w:val="ListParagraph"/>
        <w:numPr>
          <w:ilvl w:val="0"/>
          <w:numId w:val="4"/>
        </w:numPr>
        <w:spacing w:line="240" w:lineRule="auto"/>
        <w:rPr>
          <w:b/>
        </w:rPr>
      </w:pPr>
      <w:r w:rsidRPr="00FB209B">
        <w:rPr>
          <w:b/>
        </w:rPr>
        <w:t>Legislative History</w:t>
      </w:r>
      <w:r w:rsidR="00FB209B">
        <w:rPr>
          <w:b/>
        </w:rPr>
        <w:t xml:space="preserve"> demonstrates that the requirement of a writing preceding the creation of the work comports with intent of the law makers </w:t>
      </w:r>
    </w:p>
    <w:p w14:paraId="6F1C6184" w14:textId="77777777" w:rsidR="00471C4C" w:rsidRDefault="00471C4C" w:rsidP="00F87EE8">
      <w:pPr>
        <w:spacing w:after="240" w:line="480" w:lineRule="auto"/>
      </w:pPr>
      <w:r>
        <w:tab/>
        <w:t xml:space="preserve">The Copyright Act of 1976 has a long legislative history that </w:t>
      </w:r>
      <w:r w:rsidR="00FB209B">
        <w:t xml:space="preserve">can provide valuable </w:t>
      </w:r>
      <w:r>
        <w:t xml:space="preserve">insight into the intent of the law makers where the statutory language is ambiguous. The statute was the </w:t>
      </w:r>
      <w:r>
        <w:lastRenderedPageBreak/>
        <w:t>culmination of several decades of work to overhaul the Copyright Act of 1909. The final product represents countless hours of bargaining and compromises between the creators of works and the entities that purchase and distribute those works. The legislative history demonstrates that the 1976 act should be narrowly construed in order to preserve the balance of power sought by these many compromises. In the present case, a narrow reading of the act would support a requirement that a signed writing for a work made for hiring precede the creation of the work.</w:t>
      </w:r>
    </w:p>
    <w:p w14:paraId="2ED5E5E9" w14:textId="77777777" w:rsidR="00471C4C" w:rsidRDefault="00471C4C" w:rsidP="00F87EE8">
      <w:pPr>
        <w:spacing w:after="240" w:line="480" w:lineRule="auto"/>
        <w:ind w:firstLine="720"/>
      </w:pPr>
      <w:r>
        <w:t xml:space="preserve">Under the 1909 Copyright Act, a work was considered to be a "work-made-for-hire" if it was created at the "instance and expense" of the commissioning or paying party. </w:t>
      </w:r>
      <w:bookmarkStart w:id="13" w:name="CITRUS_BOOKMARK20"/>
      <w:proofErr w:type="gramStart"/>
      <w:r w:rsidRPr="000019C1">
        <w:t xml:space="preserve">1 </w:t>
      </w:r>
      <w:proofErr w:type="spellStart"/>
      <w:r w:rsidRPr="000019C1">
        <w:rPr>
          <w:i/>
        </w:rPr>
        <w:t>Lindey</w:t>
      </w:r>
      <w:proofErr w:type="spellEnd"/>
      <w:r w:rsidRPr="000019C1">
        <w:rPr>
          <w:i/>
        </w:rPr>
        <w:t xml:space="preserve"> on Entertainment, Publishing and the Arts</w:t>
      </w:r>
      <w:r w:rsidRPr="000B185B">
        <w:t xml:space="preserve"> § 1:14 (3d ed. 2011)</w:t>
      </w:r>
      <w:bookmarkEnd w:id="13"/>
      <w:r>
        <w:t>.</w:t>
      </w:r>
      <w:proofErr w:type="gramEnd"/>
      <w:r>
        <w:t xml:space="preserve"> This broad concept was significantly narrowed over time. In 1963, the Copyright Office issued a preliminary draft of the Copyright Law Revision that defined a work made for hire</w:t>
      </w:r>
      <w:r w:rsidRPr="00776B40">
        <w:t xml:space="preserve"> as “a work prepared by an employee within the scope of the duties of his employment, but not including a work made on special order or commission.” </w:t>
      </w:r>
      <w:bookmarkStart w:id="14" w:name="CITRUS_BOOKMARK21"/>
      <w:r w:rsidRPr="00CA4F3E">
        <w:rPr>
          <w:i/>
        </w:rPr>
        <w:t>Preliminary Draft for Revised U.S. Copyright Law and Discussions and Comments on the Draft, 88th Cong., 2d Sess., Co</w:t>
      </w:r>
      <w:r w:rsidR="00CA4F3E" w:rsidRPr="00CA4F3E">
        <w:rPr>
          <w:i/>
        </w:rPr>
        <w:t xml:space="preserve">pyright Law Revision, Part 3, </w:t>
      </w:r>
      <w:r w:rsidR="00CA4F3E" w:rsidRPr="00CA4F3E">
        <w:t>p.</w:t>
      </w:r>
      <w:r w:rsidRPr="00CA4F3E">
        <w:t xml:space="preserve"> 15 n.11 (H. Judiciary Comm. Print 1964)</w:t>
      </w:r>
      <w:bookmarkEnd w:id="14"/>
      <w:r>
        <w:t xml:space="preserve">. </w:t>
      </w:r>
      <w:r w:rsidRPr="001D6191">
        <w:t>In 1965</w:t>
      </w:r>
      <w:r>
        <w:t xml:space="preserve">, a significant </w:t>
      </w:r>
      <w:r w:rsidRPr="001D6191">
        <w:t xml:space="preserve">compromise </w:t>
      </w:r>
      <w:r>
        <w:t xml:space="preserve">was reached between authors and publishers that </w:t>
      </w:r>
      <w:r w:rsidRPr="001D6191">
        <w:t xml:space="preserve">retained </w:t>
      </w:r>
      <w:r>
        <w:t xml:space="preserve">the language referring to </w:t>
      </w:r>
      <w:r w:rsidRPr="001D6191">
        <w:t>a work prepared by an employee withi</w:t>
      </w:r>
      <w:r>
        <w:t xml:space="preserve">n the scope of his employment, but added a </w:t>
      </w:r>
      <w:r w:rsidRPr="001D6191">
        <w:t xml:space="preserve">second subsection </w:t>
      </w:r>
      <w:r>
        <w:t>that</w:t>
      </w:r>
      <w:r w:rsidRPr="001D6191">
        <w:t xml:space="preserve"> classified four categories of commissioned works as works for hire if the parties</w:t>
      </w:r>
      <w:r>
        <w:t xml:space="preserve"> expressly agreed in writing. These included</w:t>
      </w:r>
      <w:r w:rsidRPr="001D6191">
        <w:t xml:space="preserve"> works for use “as a contribution to a collective work, as a part of a motion picture, as a translation, or as supplementary work.” S. 1006, H.R. 4347, H.R. 5680, H.R. 6835, 89th Cong., 1st Sess., § 101 (1965).</w:t>
      </w:r>
      <w:r>
        <w:t xml:space="preserve"> </w:t>
      </w:r>
      <w:r w:rsidRPr="00AC1D99">
        <w:t>In 1966, the House Committee on the Judiciary</w:t>
      </w:r>
      <w:r>
        <w:t xml:space="preserve"> added four more enumerated categories of commissioned works that could be treated as works for hire: compilations, instructional texts, tests, and atlases. </w:t>
      </w:r>
      <w:bookmarkStart w:id="15" w:name="CITRUS_BOOKMARK22"/>
      <w:proofErr w:type="spellStart"/>
      <w:r w:rsidRPr="000019C1">
        <w:rPr>
          <w:i/>
        </w:rPr>
        <w:t>H.R.Rep</w:t>
      </w:r>
      <w:proofErr w:type="spellEnd"/>
      <w:r w:rsidRPr="000019C1">
        <w:rPr>
          <w:i/>
        </w:rPr>
        <w:t>. No. 2237, 89th Cong., 2d Sess.</w:t>
      </w:r>
      <w:r>
        <w:t xml:space="preserve"> 114, </w:t>
      </w:r>
      <w:r>
        <w:lastRenderedPageBreak/>
        <w:t>116 (1966)</w:t>
      </w:r>
      <w:bookmarkEnd w:id="15"/>
      <w:r>
        <w:t xml:space="preserve">. “Answer material for a test” was the </w:t>
      </w:r>
      <w:r w:rsidR="001065C2">
        <w:t>last</w:t>
      </w:r>
      <w:r>
        <w:t xml:space="preserve"> addition to the list by the time the final draft of the Act was passed in 1976. Barbara Ringer was</w:t>
      </w:r>
      <w:r w:rsidRPr="00E72118">
        <w:rPr>
          <w:szCs w:val="20"/>
        </w:rPr>
        <w:t xml:space="preserve"> </w:t>
      </w:r>
      <w:r>
        <w:rPr>
          <w:szCs w:val="20"/>
        </w:rPr>
        <w:t xml:space="preserve">the principal architect of </w:t>
      </w:r>
      <w:r w:rsidRPr="00E72118">
        <w:rPr>
          <w:szCs w:val="20"/>
        </w:rPr>
        <w:t>the 1976 Copyr</w:t>
      </w:r>
      <w:r>
        <w:rPr>
          <w:szCs w:val="20"/>
        </w:rPr>
        <w:t xml:space="preserve">ight Act and served as Register </w:t>
      </w:r>
      <w:r w:rsidRPr="00E72118">
        <w:rPr>
          <w:szCs w:val="20"/>
        </w:rPr>
        <w:t xml:space="preserve">of Copyrights from 1973 to 1980 </w:t>
      </w:r>
      <w:r>
        <w:rPr>
          <w:szCs w:val="20"/>
        </w:rPr>
        <w:t>as well</w:t>
      </w:r>
      <w:r w:rsidRPr="00E72118">
        <w:rPr>
          <w:szCs w:val="20"/>
        </w:rPr>
        <w:t xml:space="preserve"> a</w:t>
      </w:r>
      <w:r>
        <w:rPr>
          <w:szCs w:val="20"/>
        </w:rPr>
        <w:t xml:space="preserve">s Acting Register from 1993 to 1994. </w:t>
      </w:r>
      <w:r>
        <w:t xml:space="preserve">According to a House Report, Ringer </w:t>
      </w:r>
      <w:r w:rsidRPr="009244E2">
        <w:t xml:space="preserve">stated that a commissioned work “would not be considered a work made for hire if the contract were signed later on - after the work was written, for example.” </w:t>
      </w:r>
      <w:bookmarkStart w:id="16" w:name="CITRUS_BOOKMARK23"/>
      <w:r w:rsidRPr="000019C1">
        <w:rPr>
          <w:i/>
        </w:rPr>
        <w:t xml:space="preserve">H.R. Rep. No. 51-374, 89th Cong., 1st Sess., Part 5, </w:t>
      </w:r>
      <w:r w:rsidRPr="000019C1">
        <w:rPr>
          <w:i/>
          <w:iCs/>
        </w:rPr>
        <w:t>1964 Revision Bill with Discussions and Comments</w:t>
      </w:r>
      <w:r w:rsidRPr="000B185B">
        <w:rPr>
          <w:iCs/>
        </w:rPr>
        <w:t>,</w:t>
      </w:r>
      <w:r w:rsidRPr="000B185B">
        <w:t xml:space="preserve"> at 145 (1965)</w:t>
      </w:r>
      <w:bookmarkEnd w:id="16"/>
      <w:r>
        <w:t xml:space="preserve">.  </w:t>
      </w:r>
    </w:p>
    <w:p w14:paraId="5EE1F748" w14:textId="77777777" w:rsidR="00FB209B" w:rsidRDefault="00471C4C" w:rsidP="00F87EE8">
      <w:pPr>
        <w:spacing w:after="240" w:line="480" w:lineRule="auto"/>
        <w:ind w:firstLine="720"/>
      </w:pPr>
      <w:r>
        <w:t>This history illustrates how the original work made for hire doctrine began as an almost all encompassing concept, was radically limited in early drafts</w:t>
      </w:r>
      <w:r w:rsidR="001065C2">
        <w:t xml:space="preserve"> of the new legislation</w:t>
      </w:r>
      <w:r>
        <w:t>, and then was slowly broadened through compromises</w:t>
      </w:r>
      <w:r w:rsidR="001065C2">
        <w:t xml:space="preserve"> into its final form</w:t>
      </w:r>
      <w:r>
        <w:t xml:space="preserve">. In the first draft, no commissioned works would have been included. It took several years to settle on the nine types of work that could be made for hire. This sequence of events demonstrates that there was an extreme reluctance to broaden the doctrine. The revised act must be read as narrower than the 1909 statute, or else the revisions in the 1976 legislation would be superfluous. These nine enumerated categories of works that can become made for hire demonstrate intent to limit what the doctrine applies to, regardless of the desires of the contracting parties. These categories should be narrowly interpreted given the amount of time and debate needed to agree on them. If every work could fit into one of the nine categories, then there would be no need to identify them. Therefore, some types of works cannot be made for hire. Finally, Ringer’s testimony deserves considerable weight given her unique perspective on the legislation. Ringer played a pivotal role in the crafting and early implementation of the 1976 act. </w:t>
      </w:r>
    </w:p>
    <w:p w14:paraId="1DD8649E" w14:textId="77777777" w:rsidR="00254B43" w:rsidRDefault="00254B43" w:rsidP="00F87EE8">
      <w:pPr>
        <w:spacing w:after="240" w:line="480" w:lineRule="auto"/>
        <w:ind w:firstLine="720"/>
      </w:pPr>
    </w:p>
    <w:p w14:paraId="1198C49D" w14:textId="77777777" w:rsidR="00F87EE8" w:rsidRPr="00FB209B" w:rsidRDefault="00F87EE8" w:rsidP="00FB209B">
      <w:pPr>
        <w:pStyle w:val="ListParagraph"/>
        <w:numPr>
          <w:ilvl w:val="0"/>
          <w:numId w:val="4"/>
        </w:numPr>
        <w:spacing w:line="240" w:lineRule="auto"/>
        <w:rPr>
          <w:b/>
        </w:rPr>
      </w:pPr>
      <w:r w:rsidRPr="00FB209B">
        <w:rPr>
          <w:b/>
        </w:rPr>
        <w:lastRenderedPageBreak/>
        <w:t>Case Law</w:t>
      </w:r>
      <w:r w:rsidR="00FB209B">
        <w:rPr>
          <w:b/>
        </w:rPr>
        <w:t xml:space="preserve"> has established a precedent for the requirement of a writing preceding the creation of the work</w:t>
      </w:r>
    </w:p>
    <w:p w14:paraId="2CBB6BE4" w14:textId="77777777" w:rsidR="00F87EE8" w:rsidRDefault="00F87EE8" w:rsidP="00F87EE8">
      <w:pPr>
        <w:spacing w:line="480" w:lineRule="auto"/>
      </w:pPr>
      <w:r>
        <w:tab/>
        <w:t xml:space="preserve">Case law is limited on the exact question of whether a signed writing must be executed before the creation of </w:t>
      </w:r>
      <w:r w:rsidR="001065C2">
        <w:t>a work made for hire</w:t>
      </w:r>
      <w:r>
        <w:t xml:space="preserve">. There is currently a split in the Circuit courts and the Supreme Court has not accepted petitions to settle the issue. However, the Supreme Court has ruled on the work made for </w:t>
      </w:r>
      <w:r w:rsidR="001065C2">
        <w:t>hire</w:t>
      </w:r>
      <w:r>
        <w:t xml:space="preserve"> doctrine more generally. Notwithstanding the circuit split, the opinions presented through case law </w:t>
      </w:r>
      <w:r w:rsidR="001065C2">
        <w:t>give more</w:t>
      </w:r>
      <w:r>
        <w:t xml:space="preserve"> support </w:t>
      </w:r>
      <w:r w:rsidR="001065C2">
        <w:t xml:space="preserve">to </w:t>
      </w:r>
      <w:r>
        <w:t xml:space="preserve">the notion that requiring the writing to precede the creation of the work made for </w:t>
      </w:r>
      <w:r w:rsidR="001065C2">
        <w:t>hire</w:t>
      </w:r>
      <w:r>
        <w:t xml:space="preserve"> more closely comports with the goals and purpose of the Copyright Act. </w:t>
      </w:r>
    </w:p>
    <w:p w14:paraId="2D26CDCA" w14:textId="77777777" w:rsidR="00F87EE8" w:rsidRDefault="00F87EE8" w:rsidP="00F87EE8">
      <w:pPr>
        <w:spacing w:after="240" w:line="480" w:lineRule="auto"/>
        <w:ind w:firstLine="720"/>
      </w:pPr>
      <w:proofErr w:type="gramStart"/>
      <w:r w:rsidRPr="00D33B57">
        <w:t>In</w:t>
      </w:r>
      <w:r w:rsidRPr="00D33B57">
        <w:rPr>
          <w:i/>
        </w:rPr>
        <w:t xml:space="preserve"> </w:t>
      </w:r>
      <w:bookmarkStart w:id="17" w:name="CITRUS_BOOKMARK24"/>
      <w:proofErr w:type="spellStart"/>
      <w:r w:rsidRPr="000019C1">
        <w:rPr>
          <w:i/>
          <w:szCs w:val="22"/>
        </w:rPr>
        <w:t>Cmty</w:t>
      </w:r>
      <w:proofErr w:type="spellEnd"/>
      <w:r w:rsidRPr="000019C1">
        <w:rPr>
          <w:i/>
          <w:szCs w:val="22"/>
        </w:rPr>
        <w:t>.</w:t>
      </w:r>
      <w:proofErr w:type="gramEnd"/>
      <w:r w:rsidRPr="000019C1">
        <w:rPr>
          <w:i/>
          <w:szCs w:val="22"/>
        </w:rPr>
        <w:t xml:space="preserve"> </w:t>
      </w:r>
      <w:proofErr w:type="gramStart"/>
      <w:r w:rsidRPr="000019C1">
        <w:rPr>
          <w:i/>
          <w:szCs w:val="22"/>
        </w:rPr>
        <w:t>for</w:t>
      </w:r>
      <w:proofErr w:type="gramEnd"/>
      <w:r w:rsidRPr="000019C1">
        <w:rPr>
          <w:i/>
          <w:szCs w:val="22"/>
        </w:rPr>
        <w:t xml:space="preserve"> Creative Non-Violence v. Reid</w:t>
      </w:r>
      <w:r w:rsidRPr="00D33B57">
        <w:rPr>
          <w:szCs w:val="22"/>
        </w:rPr>
        <w:t>, 490 U.S. 730 (1989)</w:t>
      </w:r>
      <w:bookmarkEnd w:id="17"/>
      <w:r>
        <w:rPr>
          <w:szCs w:val="22"/>
        </w:rPr>
        <w:t>, the Supreme Court provided insight on how the work made for hire doctrine should be applied and the significance of the Copyright Act of 1976. In this case, an a</w:t>
      </w:r>
      <w:r>
        <w:t xml:space="preserve">ssociation to combat homelessness commissioned a statute to raise awareness. The Court ruled that there was not a proper work made for hire agreement in place and so the </w:t>
      </w:r>
      <w:r w:rsidR="001065C2">
        <w:t>sculptor</w:t>
      </w:r>
      <w:r>
        <w:t xml:space="preserve"> retained ownership of the work. Classifying a work as “made for hire” determines the initial ownership of its copyright as well as the copyright's duration, the owners' renewal rights, termination rights, and right to import certain goods. </w:t>
      </w:r>
      <w:proofErr w:type="gramStart"/>
      <w:r>
        <w:rPr>
          <w:i/>
        </w:rPr>
        <w:t>Id.</w:t>
      </w:r>
      <w:r>
        <w:t xml:space="preserve"> at 737.</w:t>
      </w:r>
      <w:proofErr w:type="gramEnd"/>
      <w:r>
        <w:t xml:space="preserve"> “</w:t>
      </w:r>
      <w:r>
        <w:rPr>
          <w:rStyle w:val="cohl"/>
        </w:rPr>
        <w:t>The contours of the work for hire doctrine therefore carry profound significance for freelance creators-including artists, writers, photographers, designers, composers, and computer programmers-and for the publishing, advertising, music, and other industries which commission their works</w:t>
      </w:r>
      <w:r>
        <w:t xml:space="preserve">.” </w:t>
      </w:r>
      <w:r>
        <w:rPr>
          <w:i/>
        </w:rPr>
        <w:t>Id.</w:t>
      </w:r>
      <w:r>
        <w:t xml:space="preserve"> The Court </w:t>
      </w:r>
      <w:r w:rsidR="001065C2">
        <w:t>also</w:t>
      </w:r>
      <w:r>
        <w:t xml:space="preserve"> claimed that Congress’s paramount goal in creating the revised 1976 Act was to enhance the predictability and certainty of copyright ownership. </w:t>
      </w:r>
      <w:proofErr w:type="gramStart"/>
      <w:r>
        <w:rPr>
          <w:i/>
        </w:rPr>
        <w:t>Id.</w:t>
      </w:r>
      <w:r>
        <w:t xml:space="preserve"> at 749.</w:t>
      </w:r>
      <w:proofErr w:type="gramEnd"/>
      <w:r>
        <w:t xml:space="preserve"> An interpretation of the Copyright Act that requires a signed writing before the creation of a work in made for hire situations would serve this paramount goal. Conversely, allowing the singed writing to be executed after the creation of the work only adds ambiguity. </w:t>
      </w:r>
    </w:p>
    <w:p w14:paraId="44B18E8E" w14:textId="77777777" w:rsidR="00F87EE8" w:rsidRDefault="00F87EE8" w:rsidP="00F87EE8">
      <w:pPr>
        <w:spacing w:line="480" w:lineRule="auto"/>
      </w:pPr>
      <w:r>
        <w:lastRenderedPageBreak/>
        <w:tab/>
        <w:t xml:space="preserve">The leading case in support of requiring the writing to precede the creation of the work made for hire is </w:t>
      </w:r>
      <w:bookmarkStart w:id="18" w:name="CITRUS_BOOKMARK25"/>
      <w:r w:rsidRPr="000019C1">
        <w:rPr>
          <w:i/>
          <w:szCs w:val="22"/>
        </w:rPr>
        <w:t xml:space="preserve">Schiller &amp; Schmidt v. </w:t>
      </w:r>
      <w:proofErr w:type="spellStart"/>
      <w:r w:rsidRPr="000019C1">
        <w:rPr>
          <w:i/>
          <w:szCs w:val="22"/>
        </w:rPr>
        <w:t>Nordisco</w:t>
      </w:r>
      <w:proofErr w:type="spellEnd"/>
      <w:r w:rsidRPr="000019C1">
        <w:rPr>
          <w:i/>
          <w:szCs w:val="22"/>
        </w:rPr>
        <w:t xml:space="preserve"> Corp.</w:t>
      </w:r>
      <w:r>
        <w:rPr>
          <w:szCs w:val="22"/>
        </w:rPr>
        <w:t>, 969 F.2d 410 (7th Cir. 1992)</w:t>
      </w:r>
      <w:bookmarkEnd w:id="18"/>
      <w:r>
        <w:rPr>
          <w:szCs w:val="22"/>
        </w:rPr>
        <w:t xml:space="preserve">. Here, a mail order </w:t>
      </w:r>
      <w:r>
        <w:t xml:space="preserve">seller of office supplies brought suit against a competitor charging copyright infringement and misappropriation of trade secrets. The opinion stated that the requirement of a signed writing in works made for hire </w:t>
      </w:r>
      <w:r w:rsidR="001065C2">
        <w:t>served two distinct purposes. First, it</w:t>
      </w:r>
      <w:r>
        <w:t xml:space="preserve"> satisfies the st</w:t>
      </w:r>
      <w:r w:rsidR="001065C2">
        <w:t xml:space="preserve">atute of frauds requirement. </w:t>
      </w:r>
      <w:proofErr w:type="gramStart"/>
      <w:r w:rsidR="00292E24">
        <w:rPr>
          <w:i/>
        </w:rPr>
        <w:t xml:space="preserve">Id. </w:t>
      </w:r>
      <w:r w:rsidR="00292E24">
        <w:t>at 412.</w:t>
      </w:r>
      <w:proofErr w:type="gramEnd"/>
      <w:r w:rsidR="00292E24">
        <w:t xml:space="preserve"> </w:t>
      </w:r>
      <w:r w:rsidR="001065C2">
        <w:t>Second</w:t>
      </w:r>
      <w:r w:rsidR="00646DCD">
        <w:t>, it</w:t>
      </w:r>
      <w:r>
        <w:t xml:space="preserve"> </w:t>
      </w:r>
      <w:r>
        <w:rPr>
          <w:rStyle w:val="cohl"/>
        </w:rPr>
        <w:t>make</w:t>
      </w:r>
      <w:r>
        <w:rPr>
          <w:rStyle w:val="cohl"/>
          <w:rFonts w:eastAsiaTheme="majorEastAsia"/>
        </w:rPr>
        <w:t>s</w:t>
      </w:r>
      <w:r>
        <w:rPr>
          <w:rStyle w:val="cohl"/>
        </w:rPr>
        <w:t xml:space="preserve"> the ownership of property rights in intellectual property clear and readily marketable</w:t>
      </w:r>
      <w:r>
        <w:rPr>
          <w:rStyle w:val="cohl"/>
          <w:rFonts w:eastAsiaTheme="majorEastAsia"/>
        </w:rPr>
        <w:t xml:space="preserve">. </w:t>
      </w:r>
      <w:proofErr w:type="gramStart"/>
      <w:r>
        <w:rPr>
          <w:rStyle w:val="cohl"/>
          <w:rFonts w:eastAsiaTheme="majorEastAsia"/>
          <w:i/>
        </w:rPr>
        <w:t>Id.</w:t>
      </w:r>
      <w:r>
        <w:rPr>
          <w:rStyle w:val="cohl"/>
          <w:rFonts w:eastAsiaTheme="majorEastAsia"/>
        </w:rPr>
        <w:t xml:space="preserve"> at 413.</w:t>
      </w:r>
      <w:proofErr w:type="gramEnd"/>
      <w:r>
        <w:rPr>
          <w:rStyle w:val="cohl"/>
          <w:rFonts w:eastAsiaTheme="majorEastAsia"/>
        </w:rPr>
        <w:t xml:space="preserve"> Therefore, “</w:t>
      </w:r>
      <w:r>
        <w:t>The writing must precede the creation of the property in order to serve its purpose of identifying the (</w:t>
      </w:r>
      <w:proofErr w:type="spellStart"/>
      <w:r>
        <w:t>noncreator</w:t>
      </w:r>
      <w:proofErr w:type="spellEnd"/>
      <w:r>
        <w:t xml:space="preserve">) owner unequivocally.” </w:t>
      </w:r>
      <w:r>
        <w:rPr>
          <w:i/>
        </w:rPr>
        <w:t>Id.</w:t>
      </w:r>
      <w:r>
        <w:t xml:space="preserve"> These sentiments were echoed in the more recent case of </w:t>
      </w:r>
      <w:bookmarkStart w:id="19" w:name="CITRUS_BOOKMARK26"/>
      <w:proofErr w:type="spellStart"/>
      <w:r w:rsidRPr="000019C1">
        <w:rPr>
          <w:i/>
        </w:rPr>
        <w:t>Gladwell</w:t>
      </w:r>
      <w:proofErr w:type="spellEnd"/>
      <w:r w:rsidRPr="000019C1">
        <w:rPr>
          <w:i/>
        </w:rPr>
        <w:t xml:space="preserve"> Gov't </w:t>
      </w:r>
      <w:proofErr w:type="spellStart"/>
      <w:r w:rsidRPr="000019C1">
        <w:rPr>
          <w:i/>
        </w:rPr>
        <w:t>Servs</w:t>
      </w:r>
      <w:proofErr w:type="spellEnd"/>
      <w:r w:rsidRPr="000019C1">
        <w:rPr>
          <w:i/>
        </w:rPr>
        <w:t>. v. County of Marin</w:t>
      </w:r>
      <w:r w:rsidRPr="00CE7745">
        <w:t xml:space="preserve">, 265 F. </w:t>
      </w:r>
      <w:proofErr w:type="spellStart"/>
      <w:r w:rsidRPr="00CE7745">
        <w:t>App'x</w:t>
      </w:r>
      <w:proofErr w:type="spellEnd"/>
      <w:r w:rsidRPr="00CE7745">
        <w:t xml:space="preserve"> 624 (9th Cir. 2008)</w:t>
      </w:r>
      <w:bookmarkEnd w:id="19"/>
      <w:r>
        <w:t xml:space="preserve">. “The plain language of the statute indicates that a work-for-hire agreement cannot apply to works that are already in existence. Works ‘specially ordered or commissioned’ can only be made </w:t>
      </w:r>
      <w:r>
        <w:rPr>
          <w:rStyle w:val="Emphasis"/>
        </w:rPr>
        <w:t>after</w:t>
      </w:r>
      <w:r>
        <w:t xml:space="preserve"> the execution of an express agreement between the parties.” </w:t>
      </w:r>
      <w:proofErr w:type="gramStart"/>
      <w:r>
        <w:rPr>
          <w:i/>
        </w:rPr>
        <w:t xml:space="preserve">Id. </w:t>
      </w:r>
      <w:r>
        <w:t>at 646.</w:t>
      </w:r>
      <w:proofErr w:type="gramEnd"/>
      <w:r>
        <w:t xml:space="preserve"> The </w:t>
      </w:r>
      <w:proofErr w:type="spellStart"/>
      <w:r>
        <w:rPr>
          <w:i/>
        </w:rPr>
        <w:t>Gladwell</w:t>
      </w:r>
      <w:proofErr w:type="spellEnd"/>
      <w:r>
        <w:t xml:space="preserve"> decision is also noteworthy because it arises from a dispute in California, home to Hollywood and other giants of the entertainment industry. </w:t>
      </w:r>
    </w:p>
    <w:p w14:paraId="6AB6C50F" w14:textId="77777777" w:rsidR="00FF098B" w:rsidRDefault="00F87EE8" w:rsidP="00F87EE8">
      <w:pPr>
        <w:spacing w:line="480" w:lineRule="auto"/>
        <w:ind w:firstLine="720"/>
      </w:pPr>
      <w:r>
        <w:t xml:space="preserve">Despite the clear assertions made by the </w:t>
      </w:r>
      <w:r>
        <w:rPr>
          <w:i/>
        </w:rPr>
        <w:t>Schiller</w:t>
      </w:r>
      <w:r>
        <w:t xml:space="preserve"> Court, the Seventh Circuit </w:t>
      </w:r>
      <w:r w:rsidR="00B1656E">
        <w:t>chose to diverge from that ruling</w:t>
      </w:r>
      <w:r>
        <w:t xml:space="preserve"> in </w:t>
      </w:r>
      <w:bookmarkStart w:id="20" w:name="CITRUS_BOOKMARK27"/>
      <w:r w:rsidRPr="000019C1">
        <w:rPr>
          <w:i/>
        </w:rPr>
        <w:t>Playboy Enters. v. Dumas</w:t>
      </w:r>
      <w:r>
        <w:t>, 53 F.3d 549 (2d Cir. 1995)</w:t>
      </w:r>
      <w:bookmarkEnd w:id="20"/>
      <w:r>
        <w:t xml:space="preserve">. (Dispute over copyright ownership </w:t>
      </w:r>
      <w:r w:rsidR="001065C2">
        <w:t>of</w:t>
      </w:r>
      <w:r>
        <w:t xml:space="preserve"> paintings by deceased artist featured in magazines). The </w:t>
      </w:r>
      <w:r>
        <w:rPr>
          <w:i/>
        </w:rPr>
        <w:t>Playboy</w:t>
      </w:r>
      <w:r>
        <w:t xml:space="preserve"> Court agreed that the writing requirement was created, in part, to make the ownership of intellectual property rights clear and definite and that “Congress's goal of “predictability” would be thwarted if a hiring party and an independent contractor could enter into a work-for-hire agreement years after a work was created.” </w:t>
      </w:r>
      <w:proofErr w:type="gramStart"/>
      <w:r>
        <w:rPr>
          <w:i/>
        </w:rPr>
        <w:t>Id.</w:t>
      </w:r>
      <w:r>
        <w:t xml:space="preserve"> at 559.</w:t>
      </w:r>
      <w:proofErr w:type="gramEnd"/>
      <w:r>
        <w:t xml:space="preserve">  </w:t>
      </w:r>
      <w:r w:rsidR="002F2E48">
        <w:t>The opinion further acknowledged</w:t>
      </w:r>
      <w:r>
        <w:t xml:space="preserve"> that without this agreement the independent contractor would be the “author” of the work</w:t>
      </w:r>
      <w:r w:rsidR="002F2E48">
        <w:t>. O</w:t>
      </w:r>
      <w:r>
        <w:t xml:space="preserve">nly after the parties </w:t>
      </w:r>
      <w:r>
        <w:lastRenderedPageBreak/>
        <w:t xml:space="preserve">agreed retroactively that the work was made for hire would the hiring party somehow become the “author.” </w:t>
      </w:r>
      <w:r>
        <w:rPr>
          <w:i/>
        </w:rPr>
        <w:t>Id.</w:t>
      </w:r>
      <w:r>
        <w:t xml:space="preserve"> The </w:t>
      </w:r>
      <w:r w:rsidRPr="003B500F">
        <w:rPr>
          <w:i/>
        </w:rPr>
        <w:t>Playboy</w:t>
      </w:r>
      <w:r>
        <w:rPr>
          <w:i/>
        </w:rPr>
        <w:t xml:space="preserve"> </w:t>
      </w:r>
      <w:r>
        <w:t xml:space="preserve">Court distinguished itself from </w:t>
      </w:r>
      <w:r w:rsidRPr="003B500F">
        <w:rPr>
          <w:i/>
        </w:rPr>
        <w:t>Schiller</w:t>
      </w:r>
      <w:r>
        <w:rPr>
          <w:i/>
        </w:rPr>
        <w:t xml:space="preserve"> </w:t>
      </w:r>
      <w:r>
        <w:t xml:space="preserve">when it concluded that </w:t>
      </w:r>
      <w:r w:rsidR="002F2E48">
        <w:t xml:space="preserve">the </w:t>
      </w:r>
      <w:r>
        <w:t xml:space="preserve">1976 Act requires that the parties agree before the creation of the work that it will be a work made for hire, but an actual writing memorializing the agreement did not have to be executed. The agreement could be either express or implied as long as it was made before the creation of the work. </w:t>
      </w:r>
      <w:r>
        <w:rPr>
          <w:i/>
        </w:rPr>
        <w:t>Id.</w:t>
      </w:r>
      <w:r>
        <w:t xml:space="preserve"> </w:t>
      </w:r>
      <w:r w:rsidR="00FF098B">
        <w:t xml:space="preserve">However, the opinion fails to recognize the potential burden of determining when an implied agreement has taken place between the parties. </w:t>
      </w:r>
      <w:r w:rsidR="00920080">
        <w:t>Further, the opinion is vague as to how long the parties had after the creation of the work to execute the signed writing.</w:t>
      </w:r>
    </w:p>
    <w:p w14:paraId="00B2CABD" w14:textId="77777777" w:rsidR="00F87EE8" w:rsidRDefault="00FF098B" w:rsidP="00F87EE8">
      <w:pPr>
        <w:spacing w:line="480" w:lineRule="auto"/>
        <w:ind w:firstLine="720"/>
      </w:pPr>
      <w:r>
        <w:t xml:space="preserve">A hypothetical situation is presented in the opinion where two parties intend to create a work made for hire, but they are unable to complete a signed written agreement before the work’s creation. The </w:t>
      </w:r>
      <w:r>
        <w:rPr>
          <w:i/>
        </w:rPr>
        <w:t>Playboy</w:t>
      </w:r>
      <w:r>
        <w:t xml:space="preserve"> Court claims that these parties would be unduly restricted if a bright line rule was adopted that required the writing to precede the work. This thought experiment does not acknowledge that the two parties could have achieved their goals through a transfer of copyright if they failed to satisfy the work made for hire requirements.</w:t>
      </w:r>
      <w:r w:rsidR="00920080">
        <w:t xml:space="preserve"> There is minimal burden on parties to enforce the narrow interpretation of the work made for hire signed writing. On the contrary, many copyright disputes could be avoided with greater predictability and less ambiguity in agreements. Freelance artists such as Lime have the smallest amount of leverage against large companies such as OGS. For television screenwriters, the production studios are the gatekeepers. Without the studios and their significant financial resources, writers such as Lime might never see their work come to fruition</w:t>
      </w:r>
      <w:r w:rsidR="00903D6B">
        <w:t xml:space="preserve">. Even with a bright line rule, studios such as OGS would maintain considerable bargaining power against artists like Lime. A strict requirement that the signed writing precede the creation of a work made for hire would do little </w:t>
      </w:r>
      <w:r w:rsidR="00903D6B">
        <w:lastRenderedPageBreak/>
        <w:t xml:space="preserve">to inhibit the actions of large actors, but could provide invaluable protection to small actors by preserving their authorship from being unjustly stripped away by ambiguous arrangements. </w:t>
      </w:r>
    </w:p>
    <w:p w14:paraId="6618528E" w14:textId="77777777" w:rsidR="00EB383C" w:rsidRDefault="002F2E48" w:rsidP="00EB383C">
      <w:pPr>
        <w:spacing w:after="240" w:line="480" w:lineRule="auto"/>
      </w:pPr>
      <w:r>
        <w:tab/>
        <w:t xml:space="preserve">The </w:t>
      </w:r>
      <w:r>
        <w:rPr>
          <w:i/>
        </w:rPr>
        <w:t>Playboy</w:t>
      </w:r>
      <w:r>
        <w:t xml:space="preserve"> Court also places excessive emphasis on protecting the intent of the parties in forming agreements. </w:t>
      </w:r>
      <w:r w:rsidR="00EB383C">
        <w:t xml:space="preserve">In </w:t>
      </w:r>
      <w:r w:rsidR="00EB383C" w:rsidRPr="00EB383C">
        <w:rPr>
          <w:i/>
        </w:rPr>
        <w:t xml:space="preserve">Marvel Comics v. Simon, </w:t>
      </w:r>
      <w:r w:rsidR="00EB383C" w:rsidRPr="00292E24">
        <w:t>310 F.3d 280</w:t>
      </w:r>
      <w:r w:rsidR="00EB383C" w:rsidRPr="00EB383C">
        <w:t xml:space="preserve"> (2d Cir. 2002)</w:t>
      </w:r>
      <w:r w:rsidR="00EB383C">
        <w:t xml:space="preserve">, a cartoonist executed an agreement stating that the works in question (the comic book hero Captain America) were "works made for hire" as part of a settlement with his publisher. Years later, the cartoonist attempted to exercise his termination rights pursuant to Section 304, arguing that the "work made for hire" agreement was an "agreement to the contrary" under the Copyright Act and the court agreed. </w:t>
      </w:r>
      <w:proofErr w:type="gramStart"/>
      <w:r w:rsidR="00EB383C" w:rsidRPr="00EB383C">
        <w:rPr>
          <w:i/>
        </w:rPr>
        <w:t xml:space="preserve">1 </w:t>
      </w:r>
      <w:proofErr w:type="spellStart"/>
      <w:r w:rsidR="00EB383C" w:rsidRPr="00EB383C">
        <w:rPr>
          <w:i/>
        </w:rPr>
        <w:t>Lindey</w:t>
      </w:r>
      <w:proofErr w:type="spellEnd"/>
      <w:r w:rsidR="00EB383C" w:rsidRPr="00EB383C">
        <w:rPr>
          <w:i/>
        </w:rPr>
        <w:t xml:space="preserve"> on Entertainment, Publ. &amp; the Arts</w:t>
      </w:r>
      <w:r w:rsidR="00EB383C">
        <w:t xml:space="preserve"> § 1:14 (3d ed. 2011).</w:t>
      </w:r>
      <w:proofErr w:type="gramEnd"/>
      <w:r w:rsidR="00EB383C">
        <w:t xml:space="preserve"> Although the settlement was agreed upon by both parties, it still violated the act and the Court intervened to invalidate the agreement. There is no reason why a similar action could not be taken when parties intent to enter a work made for hire agreement without executing the signed writing before the work is created.</w:t>
      </w:r>
    </w:p>
    <w:p w14:paraId="4E23FDA2" w14:textId="77777777" w:rsidR="002F2E48" w:rsidRDefault="002F2E48" w:rsidP="00EB383C">
      <w:pPr>
        <w:spacing w:after="240" w:line="480" w:lineRule="auto"/>
        <w:jc w:val="center"/>
      </w:pPr>
      <w:r>
        <w:rPr>
          <w:b/>
          <w:u w:val="single"/>
        </w:rPr>
        <w:t>CONCLUSION</w:t>
      </w:r>
    </w:p>
    <w:p w14:paraId="55C6124E" w14:textId="77777777" w:rsidR="002F2E48" w:rsidRPr="009A6BC0" w:rsidRDefault="002F2E48" w:rsidP="002F2E48">
      <w:pPr>
        <w:spacing w:before="100" w:beforeAutospacing="1" w:after="100" w:afterAutospacing="1" w:line="480" w:lineRule="auto"/>
      </w:pPr>
      <w:r>
        <w:tab/>
        <w:t xml:space="preserve">OGS’s claim of copyright infringement by Lime and Tiny TV fails on multiple levels. At the time Lime created the screenplay, there was no signed writing that designated it as a work made for hire. Therefore, Lime was the original author and owner of the work. There was not a proper transfer of copyright to OGS. Allowing OGS to claim copyright ownership would violate the spirit of the Copyright Act of 1976. The overhaul of copyright law was the product of years of negotiations and compromises between artists and publishers, creators and distributors. The Act was designed to balance the interests of these groups and promote the growth of creativity. Accepting OGS’s position would embrace powerful actors’ ability to use copyright as a means of stifling artists and inhibiting creation. That is the polar opposite of the intent of copyright law. </w:t>
      </w:r>
      <w:r>
        <w:lastRenderedPageBreak/>
        <w:t>The facts of this case demonstrate that Lime</w:t>
      </w:r>
      <w:r w:rsidR="00BA3C6F">
        <w:t xml:space="preserve"> retained</w:t>
      </w:r>
      <w:r>
        <w:t xml:space="preserve"> ownership of “Anticipatory Repudiation.” Therefore, OGS has failed to state a claim upon which relief can be granted and their complaint should be dismissed. </w:t>
      </w:r>
    </w:p>
    <w:p w14:paraId="2AB92E1A" w14:textId="77777777" w:rsidR="002F2E48" w:rsidRDefault="002F2E48" w:rsidP="002F2E48">
      <w:pPr>
        <w:spacing w:line="480" w:lineRule="auto"/>
      </w:pPr>
    </w:p>
    <w:p w14:paraId="1D2A6746" w14:textId="77777777" w:rsidR="002F2E48" w:rsidRPr="002F2E48" w:rsidRDefault="002F2E48" w:rsidP="002F2E48">
      <w:pPr>
        <w:spacing w:line="480" w:lineRule="auto"/>
      </w:pPr>
    </w:p>
    <w:p w14:paraId="7EC8BB5F" w14:textId="77777777" w:rsidR="00166B8C" w:rsidRDefault="00820A7D" w:rsidP="002F2E48">
      <w:pPr>
        <w:spacing w:before="100" w:beforeAutospacing="1" w:after="100" w:afterAutospacing="1" w:line="480" w:lineRule="auto"/>
      </w:pPr>
      <w:r>
        <w:tab/>
      </w:r>
    </w:p>
    <w:sectPr w:rsidR="00166B8C">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BC6A1" w14:textId="77777777" w:rsidR="00E6789B" w:rsidRDefault="00E6789B" w:rsidP="00F87EE8">
      <w:r>
        <w:separator/>
      </w:r>
    </w:p>
  </w:endnote>
  <w:endnote w:type="continuationSeparator" w:id="0">
    <w:p w14:paraId="40F187D7" w14:textId="77777777" w:rsidR="00E6789B" w:rsidRDefault="00E6789B" w:rsidP="00F8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76E1E" w14:textId="77777777" w:rsidR="001764DE" w:rsidRDefault="001764D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7805072"/>
      <w:docPartObj>
        <w:docPartGallery w:val="Page Numbers (Bottom of Page)"/>
        <w:docPartUnique/>
      </w:docPartObj>
    </w:sdtPr>
    <w:sdtEndPr>
      <w:rPr>
        <w:noProof/>
      </w:rPr>
    </w:sdtEndPr>
    <w:sdtContent>
      <w:p w14:paraId="349133DE" w14:textId="77777777" w:rsidR="001764DE" w:rsidRDefault="001764DE">
        <w:pPr>
          <w:pStyle w:val="Footer"/>
          <w:jc w:val="center"/>
        </w:pPr>
        <w:r>
          <w:fldChar w:fldCharType="begin"/>
        </w:r>
        <w:r>
          <w:instrText xml:space="preserve"> PAGE   \* MERGEFORMAT </w:instrText>
        </w:r>
        <w:r>
          <w:fldChar w:fldCharType="separate"/>
        </w:r>
        <w:r w:rsidR="007D68D2">
          <w:rPr>
            <w:noProof/>
          </w:rPr>
          <w:t>14</w:t>
        </w:r>
        <w:r>
          <w:rPr>
            <w:noProof/>
          </w:rPr>
          <w:fldChar w:fldCharType="end"/>
        </w:r>
      </w:p>
    </w:sdtContent>
  </w:sdt>
  <w:p w14:paraId="417F96CD" w14:textId="77777777" w:rsidR="001764DE" w:rsidRDefault="001764DE">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1AD06E" w14:textId="77777777" w:rsidR="001764DE" w:rsidRDefault="001764D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779CA" w14:textId="77777777" w:rsidR="00E6789B" w:rsidRDefault="00E6789B" w:rsidP="00F87EE8">
      <w:r>
        <w:separator/>
      </w:r>
    </w:p>
  </w:footnote>
  <w:footnote w:type="continuationSeparator" w:id="0">
    <w:p w14:paraId="01A6A054" w14:textId="77777777" w:rsidR="00E6789B" w:rsidRDefault="00E6789B" w:rsidP="00F87EE8">
      <w:r>
        <w:continuationSeparator/>
      </w:r>
    </w:p>
  </w:footnote>
  <w:footnote w:id="1">
    <w:p w14:paraId="68F9EEBB" w14:textId="77777777" w:rsidR="001764DE" w:rsidRDefault="001764DE">
      <w:pPr>
        <w:pStyle w:val="FootnoteText"/>
      </w:pPr>
      <w:r>
        <w:rPr>
          <w:rStyle w:val="FootnoteReference"/>
        </w:rPr>
        <w:footnoteRef/>
      </w:r>
      <w:r>
        <w:t xml:space="preserve"> As an alternative argument, it is not clear that the screenplay “Anticipatory Repudiation” fits into one of these categories. Screenplays may typically be considered part of a motion picture or other audiovisual work. However, no attempt was ever made to perform the screenplay. “Anticipatory Repudiation” cannot be part of a motion picture or audiovisual work that does not exist.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61E43F" w14:textId="77777777" w:rsidR="001764DE" w:rsidRDefault="001764D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5E5FC" w14:textId="77777777" w:rsidR="001764DE" w:rsidRDefault="001764DE" w:rsidP="00FB209B">
    <w:pPr>
      <w:pStyle w:val="Header"/>
      <w:jc w:val="right"/>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4B272" w14:textId="77777777" w:rsidR="001764DE" w:rsidRDefault="001764DE">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1E3B"/>
    <w:multiLevelType w:val="hybridMultilevel"/>
    <w:tmpl w:val="E8269164"/>
    <w:lvl w:ilvl="0" w:tplc="DA8A95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F23B9A"/>
    <w:multiLevelType w:val="hybridMultilevel"/>
    <w:tmpl w:val="6656605E"/>
    <w:lvl w:ilvl="0" w:tplc="0B2A97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B10768C"/>
    <w:multiLevelType w:val="hybridMultilevel"/>
    <w:tmpl w:val="F27C1672"/>
    <w:lvl w:ilvl="0" w:tplc="571EB552">
      <w:start w:val="1"/>
      <w:numFmt w:val="upperRoman"/>
      <w:lvlText w:val="%1."/>
      <w:lvlJc w:val="left"/>
      <w:pPr>
        <w:ind w:left="1440" w:hanging="720"/>
      </w:pPr>
      <w:rPr>
        <w:rFonts w:hint="default"/>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BE50816"/>
    <w:multiLevelType w:val="hybridMultilevel"/>
    <w:tmpl w:val="BC00E56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E2542CD"/>
    <w:multiLevelType w:val="hybridMultilevel"/>
    <w:tmpl w:val="9A46F580"/>
    <w:lvl w:ilvl="0" w:tplc="8020AD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CITRUS_CORRECTED_CITE" w:val="See McNally v. United States, 483 U.S. 350 (1987)"/>
    <w:docVar w:name="_CITRUS_JURISDICTION" w:val="Bluebook"/>
    <w:docVar w:name="CITRUS_BOOKMARK1[0]" w:val="&lt;#1&gt;&lt;citation&gt;&lt;citation._original_string&gt;shall, vb. (bef. 12c) 1. Has a duty to; more broadly, is required to \3Cthe requester shall send notice\3E \3Cnotice shall be sent\3E.   This is the mandatory sense that drafters typically intend and that courts typically uphold… 4. Will (as a future-tense verb) \3Cthe corporation shall then have a period of 30 days to object\3E. (Black's Law Dictionary (9th ed. 2009))&lt;/citation._original_string&gt;&lt;citation._current_string&gt;shall, vb. (bef. 12c) 1. Has a duty to; more broadly, I-S, ?DATE OF PUBLICATION?, at ?PAGE?&lt;/citation._current_string&gt;&lt;citation._full_string&gt;shall, vb. (bef. 12c) 1. Has a duty to; more broadly, I-S, ?DATE OF PUBLICATION?, at ?PAGE?&lt;/citation._full_string&gt;&lt;citation._current_format&gt;Full.PeriodicalNP&lt;/citation._current_format&gt;&lt;citation.name&gt;&lt;/citation.name&gt;&lt;citation.key0&gt;,&lt;/citation.key0&gt;&lt;citation.value0&gt;,&lt;/citation.value0&gt;&lt;citation.key1&gt;ArticleTitle&lt;/citation.key1&gt;&lt;citation.value1&gt;vb. (bef. 12c) 1. Has a duty to; more broadly&lt;/citation.value1&gt;&lt;citation.key2&gt;AuthorList&lt;/citation.key2&gt;&lt;citation.value2&gt;shall &lt;/citation.value2&gt;&lt;citation.key3&gt;AuthorList.Author&lt;/citation.key3&gt;&lt;citation.value3&gt;shall &lt;/citation.value3&gt;&lt;citation.key4&gt;AuthorList.Author.Name&lt;/citation.key4&gt;&lt;citation.value4&gt;shall&lt;/citation.value4&gt;&lt;citation.key5&gt;AuthorList.Author._Pattern&lt;/citation.key5&gt;&lt;citation.value5&gt;Author.Author&lt;/citation.value5&gt;&lt;citation.key6&gt;AuthorList._Pattern&lt;/citation.key6&gt;&lt;citation.value6&gt;AuthorList.AuthorList&lt;/citation.value6&gt;&lt;citation.key7&gt;Author_NickName_Guess&lt;/citation.key7&gt;&lt;citation.value7&gt;shall&lt;/citation.value7&gt;&lt;citation.key8&gt;CommaAfterTitle&lt;/citation.key8&gt;&lt;citation.value8&gt;, &lt;/citation.value8&gt;&lt;citation.key9&gt;CommaAfterTitle.,&lt;/citation.key9&gt;&lt;citation.value9&gt;,&lt;/citation.value9&gt;&lt;citation.key10&gt;CommaAfterTitle._Pattern&lt;/citation.key10&gt;&lt;citation.value10&gt;CommaAfterTitle.CommaAfterTitle&lt;/citation.value10&gt;&lt;citation.key11&gt;Id&lt;/citation.key11&gt;&lt;citation.value11&gt;Id. &lt;/citation.value11&gt;&lt;citation.key12&gt;Id.Id&lt;/citation.key12&gt;&lt;citation.value12&gt;Id.&lt;/citation.value12&gt;&lt;citation.key13&gt;Id._Pattern&lt;/citation.key13&gt;&lt;citation.value13&gt;IdGraph.IdGraph&lt;/citation.value13&gt;&lt;citation.key14&gt;NonconsecutivelyPaginatedPeriodicalCitation&lt;/citation.key14&gt;&lt;citation.value14&gt;I-S, ?DATE OF PUBLICATION?, at ?PAGE?&lt;/citation.value14&gt;&lt;citation.key15&gt;NonconsecutivelyPaginatedPeriodicalCitation.DateOfPublication&lt;/citation.key15&gt;&lt;citation.value15&gt;?DATE OF PUBLICATION?&lt;/citation.value15&gt;&lt;citation.key16&gt;NonconsecutivelyPaginatedPeriodicalCitation.DateOfPublication.DateOfPublication&lt;/citation.key16&gt;&lt;citation.value16&gt;?DATE OF PUBLICATION?&lt;/citation.value16&gt;&lt;citation.key17&gt;NonconsecutivelyPaginatedPeriodicalCitation.DateOfPublication._Pattern&lt;/citation.key17&gt;&lt;citation.value17&gt;DateOfPublication.DateOfPublication&lt;/citation.value17&gt;&lt;citation.key18&gt;NonconsecutivelyPaginatedPeriodicalCitation.FirstPage&lt;/citation.key18&gt;&lt;citation.value18&gt;?PAGE?&lt;/citation.value18&gt;&lt;citation.key19&gt;NonconsecutivelyPaginatedPeriodicalCitation.FirstPage.PageNumber&lt;/citation.key19&gt;&lt;citation.value19&gt;?PAGE?&lt;/citation.value19&gt;&lt;citation.key20&gt;NonconsecutivelyPaginatedPeriodicalCitation.FirstPage._Pattern&lt;/citation.key20&gt;&lt;citation.value20&gt;FirstPageNumber.FirstPageNumber&lt;/citation.value20&gt;&lt;citation.key21&gt;NonconsecutivelyPaginatedPeriodicalCitation.PeriodicalName&lt;/citation.key21&gt;&lt;citation.value21&gt;I-S&lt;/citation.value21&gt;&lt;citation.key22&gt;NonconsecutivelyPaginatedPeriodicalCitation.RequiredComma._Pattern&lt;/citation.key22&gt;&lt;citation.value22&gt;RequiredComma.RequiredComma&lt;/citation.value22&gt;&lt;citation.key23&gt;NonconsecutivelyPaginatedPeriodicalCitation._Pattern&lt;/citation.key23&gt;&lt;citation.value23&gt;NonconsecutivelyPaginatedPeriodicalCitation.NonconsecutivelyPaginatedPeriodicalCitation&lt;/citation.value23&gt;&lt;/citation&gt;_x000a_"/>
    <w:docVar w:name="CITRUS_BOOKMARK10[0]" w:val="&lt;#1&gt;&lt;citation&gt;&lt;citation._original_string&gt;Id. § 101&lt;/citation._original_string&gt;&lt;citation._current_string&gt;Id. § 101&lt;/citation._current_string&gt;&lt;citation._full_string&gt;17 U.S.C. §101 (2006)&lt;/citation._full_string&gt;&lt;citation._current_format&gt;Id.USCId&lt;/citation._current_format&gt;&lt;citation.name&gt;&lt;/citation.name&gt;&lt;citation.key0&gt;Id&lt;/citation.key0&gt;&lt;citation.value0&gt;Id. &lt;/citation.value0&gt;&lt;citation.key1&gt;Id.ForbiddenComma._Pattern&lt;/citation.key1&gt;&lt;citation.value1&gt;ForbiddenComma.ForbiddenComma&lt;/citation.value1&gt;&lt;citation.key2&gt;Id.Id&lt;/citation.key2&gt;&lt;citation.value2&gt;Id.&lt;/citation.value2&gt;&lt;citation.key3&gt;Id._Pattern&lt;/citation.key3&gt;&lt;citation.value3&gt;IdGraph.IdGraph&lt;/citation.value3&gt;&lt;citation.key4&gt;USCCodeCitation&lt;/citation.key4&gt;&lt;citation.value4&gt;17 U.S.C. §101 &lt;/citation.value4&gt;&lt;citation.key5&gt;USCCodeCitation.USCTitleAndCode&lt;/citation.key5&gt;&lt;citation.value5&gt;17 U.S.C. &lt;/citation.value5&gt;&lt;citation.key6&gt;USCCodeCitation.USCTitleAndCode.USC&lt;/citation.key6&gt;&lt;citation.value6&gt;U.S.C.&lt;/citation.value6&gt;&lt;citation.key7&gt;USCCodeCitation.USCTitleAndCode.Volume&lt;/citation.key7&gt;&lt;citation.value7&gt;17&lt;/citation.value7&gt;&lt;citation.key8&gt;USCCodeCitation.USCTitleAndCode._Pattern&lt;/citation.key8&gt;&lt;citation.value8&gt;USCTitleAndCode.USCTitleAndCode&lt;/citation.value8&gt;&lt;citation.key9&gt;USCCodeCitation._Pattern&lt;/citation.key9&gt;&lt;citation.value9&gt;USCCodeCitation.USCCodeCitation&lt;/citation.value9&gt;&lt;citation.key10&gt;USCCodeCitation.__SectionOrSections&lt;/citation.key10&gt;&lt;citation.value10&gt; §101 &lt;/citation.value10&gt;&lt;citation.key11&gt;USCCodeCitation.__SectionOrSections.RequiredSectionSymbol&lt;/citation.key11&gt;&lt;citation.value11&gt; §&lt;/citation.value11&gt;&lt;citation.key12&gt;USCCodeCitation.__SectionOrSections.RequiredSectionSymbol.SectionSymbol&lt;/citation.key12&gt;&lt;citation.value12&gt; §&lt;/citation.value12&gt;&lt;citation.key13&gt;USCCodeCitation.__SectionOrSections.RequiredSectionSymbol._Pattern&lt;/citation.key13&gt;&lt;citation.value13&gt;RequiredSectionSymbol.RequiredSectionSymbol&lt;/citation.value13&gt;&lt;citation.key14&gt;USCCodeCitation.__SectionOrSections.SectionNumberList&lt;/citation.key14&gt;&lt;citation.value14&gt;101 &lt;/citation.value14&gt;&lt;citation.key15&gt;USCCodeCitation.__SectionOrSections.SectionNumberList.SectionNumberScalarOrRange&lt;/citation.key15&gt;&lt;citation.value15&gt;101 &lt;/citation.value15&gt;&lt;citation.key16&gt;USCCodeCitation.__SectionOrSections.SectionNumberList.SectionNumberScalarOrRange.SectionNumber&lt;/citation.key16&gt;&lt;citation.value16&gt;101&lt;/citation.value16&gt;&lt;citation.key17&gt;USCCodeCitation.__SectionOrSections.SectionNumberList.SectionNumberScalarOrRange._Pattern&lt;/citation.key17&gt;&lt;citation.value17&gt;SectionNumberScalarOrRange.SectionNumberScalarOrRange&lt;/citation.value17&gt;&lt;citation.key18&gt;USCCodeCitation.__SectionOrSections.SectionNumberList._Pattern&lt;/citation.key18&gt;&lt;citation.value18&gt;SectionNumberList.SectionNumberList&lt;/citation.value18&gt;&lt;citation.key19&gt;USCCodeCitation.__SectionOrSections._Pattern&lt;/citation.key19&gt;&lt;citation.value19&gt;SectionOrSections.SectionOrSections&lt;/citation.value19&gt;&lt;citation.key20&gt;__ActNameAndSection._Pattern&lt;/citation.key20&gt;&lt;citation.value20&gt;ActNameAndSection.ActNameAndSection&lt;/citation.value20&gt;&lt;citation.key21&gt;__AfterStatutoryCite&lt;/citation.key21&gt;&lt;citation.value21&gt; (2006)&lt;/citation.value21&gt;&lt;citation.key22&gt;__AfterStatutoryCite.StatutoryCodeEditionCite&lt;/citation.key22&gt;&lt;citation.value22&gt;(2006)&lt;/citation.value22&gt;&lt;citation.key23&gt;__AfterStatutoryCite.StatutoryCodeEditionCite.(&lt;/citation.key23&gt;&lt;citation.value23&gt;(&lt;/citation.value23&gt;&lt;citation.key24&gt;__AfterStatutoryCite.StatutoryCodeEditionCite.)&lt;/citation.key24&gt;&lt;citation.value24&gt;)&lt;/citation.value24&gt;&lt;citation.key25&gt;__AfterStatutoryCite.StatutoryCodeEditionCite.StatutoryCodeEdition&lt;/citation.key25&gt;&lt;citation.value25&gt;2006&lt;/citation.value25&gt;&lt;citation.key26&gt;__AfterStatutoryCite.StatutoryCodeEditionCite.StatutoryCodeEdition.Publisher&lt;/citation.key26&gt;&lt;citation.value26&gt;&lt;/citation.value26&gt;&lt;citation.key27&gt;__AfterStatutoryCite.StatutoryCodeEditionCite.StatutoryCodeEdition.Year&lt;/citation.key27&gt;&lt;citation.value27&gt;2006&lt;/citation.value27&gt;&lt;citation.key28&gt;__AfterStatutoryCite.StatutoryCodeEditionCite.StatutoryCodeEdition.Year.Year&lt;/citation.key28&gt;&lt;citation.value28&gt;2006&lt;/citation.value28&gt;&lt;citation.key29&gt;__AfterStatutoryCite.StatutoryCodeEditionCite.StatutoryCodeEdition.Year._Pattern&lt;/citation.key29&gt;&lt;citation.value29&gt;Year.Year&lt;/citation.value29&gt;&lt;citation.key30&gt;__AfterStatutoryCite.StatutoryCodeEditionCite.StatutoryCodeEdition._Pattern&lt;/citation.key30&gt;&lt;citation.value30&gt;StatutoryCodeEdition.StatutoryCodeEdition&lt;/citation.value30&gt;&lt;citation.key31&gt;__AfterStatutoryCite.StatutoryCodeEditionCite._Pattern&lt;/citation.key31&gt;&lt;citation.value31&gt;StatutoryCodeEditionCite.StatutoryCodeEditionCite&lt;/citation.value31&gt;&lt;citation.key32&gt;__AfterStatutoryCite._Pattern&lt;/citation.key32&gt;&lt;citation.value32&gt;AfterStatutoryCite.AfterStatutoryCite&lt;/citation.value32&gt;&lt;citation.key33&gt;__StatuteParentheticals._Pattern&lt;/citation.key33&gt;&lt;citation.value33&gt;StatuteParentheticals.StatuteParentheticals&lt;/citation.value33&gt;&lt;/citation&gt;_x000a_"/>
    <w:docVar w:name="CITRUS_BOOKMARK11[0]" w:val="&lt;#1&gt;&lt;citation&gt;&lt;citation._original_string&gt;17 U.S.C. §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2[0]" w:val="&lt;#1&gt;&lt;citation&gt;&lt;citation._original_string&gt;Id&lt;/citation._original_string&gt;&lt;citation._current_string&gt;Id.&lt;/citation._current_string&gt;&lt;citation._full_string&gt;17 U.S.C. §201 (2006)&lt;/citation._full_string&gt;&lt;citation._current_format&gt;Id.USCUId&lt;/citation._current_format&gt;&lt;citation.name&gt;&lt;/citation.name&gt;&lt;citation.key0&gt;Id&lt;/citation.key0&gt;&lt;citation.value0&gt;Id. &lt;/citation.value0&gt;&lt;citation.key1&gt;Id.ForbiddenComma._Pattern&lt;/citation.key1&gt;&lt;citation.value1&gt;ForbiddenComma.ForbiddenComma&lt;/citation.value1&gt;&lt;citation.key2&gt;Id.Id&lt;/citation.key2&gt;&lt;citation.value2&gt;Id.&lt;/citation.value2&gt;&lt;citation.key3&gt;Id._Pattern&lt;/citation.key3&gt;&lt;citation.value3&gt;IdGraph.IdGraph&lt;/citation.value3&gt;&lt;citation.key4&gt;USCCodeCitation&lt;/citation.key4&gt;&lt;citation.value4&gt;17 U.S.C. §201 &lt;/citation.value4&gt;&lt;citation.key5&gt;USCCodeCitation.USCTitleAndCode&lt;/citation.key5&gt;&lt;citation.value5&gt;17 U.S.C. &lt;/citation.value5&gt;&lt;citation.key6&gt;USCCodeCitation.USCTitleAndCode.USC&lt;/citation.key6&gt;&lt;citation.value6&gt;U.S.C.&lt;/citation.value6&gt;&lt;citation.key7&gt;USCCodeCitation.USCTitleAndCode.Volume&lt;/citation.key7&gt;&lt;citation.value7&gt;17&lt;/citation.value7&gt;&lt;citation.key8&gt;USCCodeCitation.USCTitleAndCode._Pattern&lt;/citation.key8&gt;&lt;citation.value8&gt;USCTitleAndCode.USCTitleAndCode&lt;/citation.value8&gt;&lt;citation.key9&gt;USCCodeCitation._Pattern&lt;/citation.key9&gt;&lt;citation.value9&gt;USCCodeCitation.USCCodeCitation&lt;/citation.value9&gt;&lt;citation.key10&gt;USCCodeCitation.__SectionOrSections&lt;/citation.key10&gt;&lt;citation.value10&gt; §201 &lt;/citation.value10&gt;&lt;citation.key11&gt;USCCodeCitation.__SectionOrSections.RequiredSectionSymbol&lt;/citation.key11&gt;&lt;citation.value11&gt; §&lt;/citation.value11&gt;&lt;citation.key12&gt;USCCodeCitation.__SectionOrSections.RequiredSectionSymbol.SectionSymbol&lt;/citation.key12&gt;&lt;citation.value12&gt; §&lt;/citation.value12&gt;&lt;citation.key13&gt;USCCodeCitation.__SectionOrSections.RequiredSectionSymbol._Pattern&lt;/citation.key13&gt;&lt;citation.value13&gt;RequiredSectionSymbol.RequiredSectionSymbol&lt;/citation.value13&gt;&lt;citation.key14&gt;USCCodeCitation.__SectionOrSections.SectionNumberList&lt;/citation.key14&gt;&lt;citation.value14&gt;201 &lt;/citation.value14&gt;&lt;citation.key15&gt;USCCodeCitation.__SectionOrSections.SectionNumberList.SectionNumberScalarOrRange&lt;/citation.key15&gt;&lt;citation.value15&gt;201 &lt;/citation.value15&gt;&lt;citation.key16&gt;USCCodeCitation.__SectionOrSections.SectionNumberList.SectionNumberScalarOrRange.SectionNumber&lt;/citation.key16&gt;&lt;citation.value16&gt;201&lt;/citation.value16&gt;&lt;citation.key17&gt;USCCodeCitation.__SectionOrSections.SectionNumberList.SectionNumberScalarOrRange._Pattern&lt;/citation.key17&gt;&lt;citation.value17&gt;SectionNumberScalarOrRange.SectionNumberScalarOrRange&lt;/citation.value17&gt;&lt;citation.key18&gt;USCCodeCitation.__SectionOrSections.SectionNumberList._Pattern&lt;/citation.key18&gt;&lt;citation.value18&gt;SectionNumberList.SectionNumberList&lt;/citation.value18&gt;&lt;citation.key19&gt;USCCodeCitation.__SectionOrSections._Pattern&lt;/citation.key19&gt;&lt;citation.value19&gt;SectionOrSections.SectionOrSections&lt;/citation.value19&gt;&lt;citation.key20&gt;__ActNameAndSection._Pattern&lt;/citation.key20&gt;&lt;citation.value20&gt;ActNameAndSection.ActNameAndSection&lt;/citation.value20&gt;&lt;citation.key21&gt;__AfterStatutoryCite&lt;/citation.key21&gt;&lt;citation.value21&gt; (2006)&lt;/citation.value21&gt;&lt;citation.key22&gt;__AfterStatutoryCite.StatutoryCodeEditionCite&lt;/citation.key22&gt;&lt;citation.value22&gt;(2006)&lt;/citation.value22&gt;&lt;citation.key23&gt;__AfterStatutoryCite.StatutoryCodeEditionCite.(&lt;/citation.key23&gt;&lt;citation.value23&gt;(&lt;/citation.value23&gt;&lt;citation.key24&gt;__AfterStatutoryCite.StatutoryCodeEditionCite.)&lt;/citation.key24&gt;&lt;citation.value24&gt;)&lt;/citation.value24&gt;&lt;citation.key25&gt;__AfterStatutoryCite.StatutoryCodeEditionCite.StatutoryCodeEdition&lt;/citation.key25&gt;&lt;citation.value25&gt;2006&lt;/citation.value25&gt;&lt;citation.key26&gt;__AfterStatutoryCite.StatutoryCodeEditionCite.StatutoryCodeEdition.Publisher&lt;/citation.key26&gt;&lt;citation.value26&gt;&lt;/citation.value26&gt;&lt;citation.key27&gt;__AfterStatutoryCite.StatutoryCodeEditionCite.StatutoryCodeEdition.Year&lt;/citation.key27&gt;&lt;citation.value27&gt;2006&lt;/citation.value27&gt;&lt;citation.key28&gt;__AfterStatutoryCite.StatutoryCodeEditionCite.StatutoryCodeEdition.Year.Year&lt;/citation.key28&gt;&lt;citation.value28&gt;2006&lt;/citation.value28&gt;&lt;citation.key29&gt;__AfterStatutoryCite.StatutoryCodeEditionCite.StatutoryCodeEdition.Year._Pattern&lt;/citation.key29&gt;&lt;citation.value29&gt;Year.Year&lt;/citation.value29&gt;&lt;citation.key30&gt;__AfterStatutoryCite.StatutoryCodeEditionCite.StatutoryCodeEdition._Pattern&lt;/citation.key30&gt;&lt;citation.value30&gt;StatutoryCodeEdition.StatutoryCodeEdition&lt;/citation.value30&gt;&lt;citation.key31&gt;__AfterStatutoryCite.StatutoryCodeEditionCite._Pattern&lt;/citation.key31&gt;&lt;citation.value31&gt;StatutoryCodeEditionCite.StatutoryCodeEditionCite&lt;/citation.value31&gt;&lt;citation.key32&gt;__AfterStatutoryCite._Pattern&lt;/citation.key32&gt;&lt;citation.value32&gt;AfterStatutoryCite.AfterStatutoryCite&lt;/citation.value32&gt;&lt;citation.key33&gt;__StatuteParentheticals._Pattern&lt;/citation.key33&gt;&lt;citation.value33&gt;StatuteParentheticals.StatuteParentheticals&lt;/citation.value33&gt;&lt;/citation&gt;_x000a_"/>
    <w:docVar w:name="CITRUS_BOOKMARK13[0]" w:val="&lt;#1&gt;&lt;citation&gt;&lt;citation._original_string&gt;Id&lt;/citation._original_string&gt;&lt;citation._current_string&gt;Id.&lt;/citation._current_string&gt;&lt;citation._full_string&gt;17 U.S.C. §101 (2006)&lt;/citation._full_string&gt;&lt;citation._current_format&gt;Id.USCUId&lt;/citation._current_format&gt;&lt;citation.name&gt;&lt;/citation.name&gt;&lt;citation.key0&gt;Id&lt;/citation.key0&gt;&lt;citation.value0&gt;Id. &lt;/citation.value0&gt;&lt;citation.key1&gt;Id.ForbiddenComma._Pattern&lt;/citation.key1&gt;&lt;citation.value1&gt;ForbiddenComma.ForbiddenComma&lt;/citation.value1&gt;&lt;citation.key2&gt;Id.Id&lt;/citation.key2&gt;&lt;citation.value2&gt;Id.&lt;/citation.value2&gt;&lt;citation.key3&gt;Id._Pattern&lt;/citation.key3&gt;&lt;citation.value3&gt;IdGraph.IdGraph&lt;/citation.value3&gt;&lt;citation.key4&gt;USCCodeCitation&lt;/citation.key4&gt;&lt;citation.value4&gt;17 U.S.C. §101 &lt;/citation.value4&gt;&lt;citation.key5&gt;USCCodeCitation.USCTitleAndCode&lt;/citation.key5&gt;&lt;citation.value5&gt;17 U.S.C. &lt;/citation.value5&gt;&lt;citation.key6&gt;USCCodeCitation.USCTitleAndCode.USC&lt;/citation.key6&gt;&lt;citation.value6&gt;U.S.C.&lt;/citation.value6&gt;&lt;citation.key7&gt;USCCodeCitation.USCTitleAndCode.Volume&lt;/citation.key7&gt;&lt;citation.value7&gt;17&lt;/citation.value7&gt;&lt;citation.key8&gt;USCCodeCitation.USCTitleAndCode._Pattern&lt;/citation.key8&gt;&lt;citation.value8&gt;USCTitleAndCode.USCTitleAndCode&lt;/citation.value8&gt;&lt;citation.key9&gt;USCCodeCitation._Pattern&lt;/citation.key9&gt;&lt;citation.value9&gt;USCCodeCitation.USCCodeCitation&lt;/citation.value9&gt;&lt;citation.key10&gt;USCCodeCitation.__SectionOrSections&lt;/citation.key10&gt;&lt;citation.value10&gt; §101 &lt;/citation.value10&gt;&lt;citation.key11&gt;USCCodeCitation.__SectionOrSections.RequiredSectionSymbol&lt;/citation.key11&gt;&lt;citation.value11&gt; §&lt;/citation.value11&gt;&lt;citation.key12&gt;USCCodeCitation.__SectionOrSections.RequiredSectionSymbol.SectionSymbol&lt;/citation.key12&gt;&lt;citation.value12&gt; §&lt;/citation.value12&gt;&lt;citation.key13&gt;USCCodeCitation.__SectionOrSections.RequiredSectionSymbol._Pattern&lt;/citation.key13&gt;&lt;citation.value13&gt;RequiredSectionSymbol.RequiredSectionSymbol&lt;/citation.value13&gt;&lt;citation.key14&gt;USCCodeCitation.__SectionOrSections.SectionNumberList&lt;/citation.key14&gt;&lt;citation.value14&gt;101 &lt;/citation.value14&gt;&lt;citation.key15&gt;USCCodeCitation.__SectionOrSections.SectionNumberList.SectionNumberScalarOrRange&lt;/citation.key15&gt;&lt;citation.value15&gt;101 &lt;/citation.value15&gt;&lt;citation.key16&gt;USCCodeCitation.__SectionOrSections.SectionNumberList.SectionNumberScalarOrRange.SectionNumber&lt;/citation.key16&gt;&lt;citation.value16&gt;101&lt;/citation.value16&gt;&lt;citation.key17&gt;USCCodeCitation.__SectionOrSections.SectionNumberList.SectionNumberScalarOrRange._Pattern&lt;/citation.key17&gt;&lt;citation.value17&gt;SectionNumberScalarOrRange.SectionNumberScalarOrRange&lt;/citation.value17&gt;&lt;citation.key18&gt;USCCodeCitation.__SectionOrSections.SectionNumberList._Pattern&lt;/citation.key18&gt;&lt;citation.value18&gt;SectionNumberList.SectionNumberList&lt;/citation.value18&gt;&lt;citation.key19&gt;USCCodeCitation.__SectionOrSections._Pattern&lt;/citation.key19&gt;&lt;citation.value19&gt;SectionOrSections.SectionOrSections&lt;/citation.value19&gt;&lt;citation.key20&gt;__ActNameAndSection._Pattern&lt;/citation.key20&gt;&lt;citation.value20&gt;ActNameAndSection.ActNameAndSection&lt;/citation.value20&gt;&lt;citation.key21&gt;__AfterStatutoryCite&lt;/citation.key21&gt;&lt;citation.value21&gt; (2006)&lt;/citation.value21&gt;&lt;citation.key22&gt;__AfterStatutoryCite.StatutoryCodeEditionCite&lt;/citation.key22&gt;&lt;citation.value22&gt; (2006)&lt;/citation.value22&gt;&lt;citation.key23&gt;__AfterStatutoryCite.StatutoryCodeEditionCite.(&lt;/citation.key23&gt;&lt;citation.value23&gt;(&lt;/citation.value23&gt;&lt;citation.key24&gt;__AfterStatutoryCite.StatutoryCodeEditionCite.)&lt;/citation.key24&gt;&lt;citation.value24&gt;)&lt;/citation.value24&gt;&lt;citation.key25&gt;__AfterStatutoryCite.StatutoryCodeEditionCite.StatutoryCodeEdition&lt;/citation.key25&gt;&lt;citation.value25&gt;2006 &lt;/citation.value25&gt;&lt;citation.key26&gt;__AfterStatutoryCite.StatutoryCodeEditionCite.StatutoryCodeEdition.Publisher&lt;/citation.key26&gt;&lt;citation.value26&gt;&lt;/citation.value26&gt;&lt;citation.key27&gt;__AfterStatutoryCite.StatutoryCodeEditionCite.StatutoryCodeEdition.Year&lt;/citation.key27&gt;&lt;citation.value27&gt;2006 &lt;/citation.value27&gt;&lt;citation.key28&gt;__AfterStatutoryCite.StatutoryCodeEditionCite.StatutoryCodeEdition.Year.Year&lt;/citation.key28&gt;&lt;citation.value28&gt;2006&lt;/citation.value28&gt;&lt;citation.key29&gt;__AfterStatutoryCite.StatutoryCodeEditionCite.StatutoryCodeEdition.Year._Pattern&lt;/citation.key29&gt;&lt;citation.value29&gt;Year.Year&lt;/citation.value29&gt;&lt;citation.key30&gt;__AfterStatutoryCite.StatutoryCodeEditionCite.StatutoryCodeEdition._Pattern&lt;/citation.key30&gt;&lt;citation.value30&gt;StatutoryCodeEdition.StatutoryCodeEdition&lt;/citation.value30&gt;&lt;citation.key31&gt;__AfterStatutoryCite.StatutoryCodeEditionCite._Pattern&lt;/citation.key31&gt;&lt;citation.value31&gt;StatutoryCodeEditionCite.StatutoryCodeEditionCite&lt;/citation.value31&gt;&lt;citation.key32&gt;__AfterStatutoryCite._Pattern&lt;/citation.key32&gt;&lt;citation.value32&gt;AfterStatutoryCite.AfterStatutoryCite&lt;/citation.value32&gt;&lt;citation.key33&gt;__StatuteParentheticals._Pattern&lt;/citation.key33&gt;&lt;citation.value33&gt;StatuteParentheticals.StatuteParentheticals&lt;/citation.value33&gt;&lt;/citation&gt;_x000a_"/>
    <w:docVar w:name="CITRUS_BOOKMARK14[0]" w:val="&lt;#1&gt;&lt;citation&gt;&lt;citation._original_string&gt;Id&lt;/citation._original_string&gt;&lt;citation._current_string&gt;Id.&lt;/citation._current_string&gt;&lt;citation._full_string&gt;Black's Law Dictionary (9th ed. 2009)&lt;/citation._full_string&gt;&lt;citation._current_format&gt;Id.DictionariesUId&lt;/citation._current_format&gt;&lt;citation.name&gt;&lt;/citation.name&gt;&lt;citation.key0&gt;DictionaryEdition&lt;/citation.key0&gt;&lt;citation.value0&gt; (9th ed. 2009)&lt;/citation.value0&gt;&lt;citation.key1&gt;DictionaryEdition.(&lt;/citation.key1&gt;&lt;citation.value1&gt;(&lt;/citation.value1&gt;&lt;citation.key2&gt;DictionaryEdition.)&lt;/citation.key2&gt;&lt;citation.value2&gt;)&lt;/citation.value2&gt;&lt;citation.key3&gt;DictionaryEdition.DictionaryEditionName&lt;/citation.key3&gt;&lt;citation.value3&gt;9th ed. &lt;/citation.value3&gt;&lt;citation.key4&gt;DictionaryEdition.DictionaryEditionName.Edition&lt;/citation.key4&gt;&lt;citation.value4&gt;ed.&lt;/citation.value4&gt;&lt;citation.key5&gt;DictionaryEdition.DictionaryEditionName.EditionOrdinal&lt;/citation.key5&gt;&lt;citation.value5&gt;9th&lt;/citation.value5&gt;&lt;citation.key6&gt;DictionaryEdition.DictionaryEditionName._Pattern&lt;/citation.key6&gt;&lt;citation.value6&gt;DictionaryEditionName.DictionaryEditionName&lt;/citation.value6&gt;&lt;citation.key7&gt;DictionaryEdition.ForbiddenComma._Pattern&lt;/citation.key7&gt;&lt;citation.value7&gt;ForbiddenComma.ForbiddenComma&lt;/citation.value7&gt;&lt;citation.key8&gt;DictionaryEdition.Year&lt;/citation.key8&gt;&lt;citation.value8&gt;2009 &lt;/citation.value8&gt;&lt;citation.key9&gt;DictionaryEdition.Year.Year&lt;/citation.key9&gt;&lt;citation.value9&gt;2009&lt;/citation.value9&gt;&lt;citation.key10&gt;DictionaryEdition.Year._Pattern&lt;/citation.key10&gt;&lt;citation.value10&gt;Year.Year&lt;/citation.value10&gt;&lt;citation.key11&gt;DictionaryEdition._Pattern&lt;/citation.key11&gt;&lt;citation.value11&gt;DictionaryEdition.DictionaryEdition&lt;/citation.value11&gt;&lt;citation.key12&gt;DictionaryName&lt;/citation.key12&gt;&lt;citation.value12&gt;Black's Law Dictionary&lt;/citation.value12&gt;&lt;citation.key13&gt;Id&lt;/citation.key13&gt;&lt;citation.value13&gt;Id. &lt;/citation.value13&gt;&lt;citation.key14&gt;Id.ForbiddenComma._Pattern&lt;/citation.key14&gt;&lt;citation.value14&gt;ForbiddenComma.ForbiddenComma&lt;/citation.value14&gt;&lt;citation.key15&gt;Id.Id&lt;/citation.key15&gt;&lt;citation.value15&gt;Id.&lt;/citation.value15&gt;&lt;citation.key16&gt;Id._Pattern&lt;/citation.key16&gt;&lt;citation.value16&gt;IdGraph.IdGraph&lt;/citation.value16&gt;&lt;/citation&gt;_x000a_"/>
    <w:docVar w:name="CITRUS_BOOKMARK15[0]" w:val="&lt;#1&gt;&lt;citation&gt;&lt;citation._original_string&gt;17 U.S.C. § 101 (2010)&lt;/citation._original_string&gt;&lt;citation._current_string&gt;17 U.S.C. § 101 (?YEAR?)&lt;/citation._current_string&gt;&lt;citation._full_string&gt;17 U.S.C. §101 (?YEAR?)&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YEAR?)&lt;/citation.value19&gt;&lt;citation.key20&gt;__AfterStatutoryCite.StatutoryCodeEditionCite&lt;/citation.key20&gt;&lt;citation.value20&gt; (2010)&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10 &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YEAR?&lt;/citation.value25&gt;&lt;citation.key26&gt;__AfterStatutoryCite.StatutoryCodeEditionCite.StatutoryCodeEdition.Year.Year&lt;/citation.key26&gt;&lt;citation.value26&gt;?YEAR?&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6[0]" w:val="&lt;#1&gt;&lt;citation&gt;&lt;citation._original_string&gt;17 U.S.C.A § 101 (2010)&lt;/citation._original_string&gt;&lt;citation._current_string&gt;17 U.S.C.A. § 101 (West 2010)&lt;/citation._current_string&gt;&lt;citation._full_string&gt;17 U.S.C.A. §101 (West 2010)&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A. §101 &lt;/citation.value3&gt;&lt;citation.key4&gt;USCCodeCitation.USCTitleAndCode&lt;/citation.key4&gt;&lt;citation.value4&gt;17 U.S.C.A. &lt;/citation.value4&gt;&lt;citation.key5&gt;USCCodeCitation.USCTitleAndCode.USCA&lt;/citation.key5&gt;&lt;citation.value5&gt;U.S.C.A.&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West 2010)&lt;/citation.value19&gt;&lt;citation.key20&gt;__AfterStatutoryCite.StatutoryCodeEditionCite&lt;/citation.key20&gt;&lt;citation.value20&gt; (2010)&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10 &lt;/citation.value23&gt;&lt;citation.key24&gt;__AfterStatutoryCite.StatutoryCodeEditionCite.StatutoryCodeEdition.Publisher&lt;/citation.key24&gt;&lt;citation.value24&gt;West&lt;/citation.value24&gt;&lt;citation.key25&gt;__AfterStatutoryCite.StatutoryCodeEditionCite.StatutoryCodeEdition.Year&lt;/citation.key25&gt;&lt;citation.value25&gt;2010 &lt;/citation.value25&gt;&lt;citation.key26&gt;__AfterStatutoryCite.StatutoryCodeEditionCite.StatutoryCodeEdition.Year.Year&lt;/citation.key26&gt;&lt;citation.value26&gt;2010&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7[0]" w:val="&lt;#1&gt;&lt;citation&gt;&lt;citation._original_string&gt;17 U.S.C. § 101&lt;/citation._original_string&gt;&lt;citation._current_string&gt;17 U.S.C. § 101&lt;/citation._current_string&gt;&lt;citation._full_string&gt;17 U.S.C. §101 (2006)&lt;/citation._full_string&gt;&lt;citation._current_format&gt;Short.ShortUSC&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18[0]" w:val="&lt;#1&gt;&lt;citation&gt;&lt;citation._original_string&gt;Id. § 204&lt;/citation._original_string&gt;&lt;citation._current_string&gt;Id. § 204&lt;/citation._current_string&gt;&lt;citation._full_string&gt;17 U.S.C. §204 (2006)&lt;/citation._full_string&gt;&lt;citation._current_format&gt;Id.USCId&lt;/citation._current_format&gt;&lt;citation.name&gt;&lt;/citation.name&gt;&lt;citation.key0&gt;Id&lt;/citation.key0&gt;&lt;citation.value0&gt;Id. &lt;/citation.value0&gt;&lt;citation.key1&gt;Id.ForbiddenComma._Pattern&lt;/citation.key1&gt;&lt;citation.value1&gt;ForbiddenComma.ForbiddenComma&lt;/citation.value1&gt;&lt;citation.key2&gt;Id.Id&lt;/citation.key2&gt;&lt;citation.value2&gt;Id.&lt;/citation.value2&gt;&lt;citation.key3&gt;Id._Pattern&lt;/citation.key3&gt;&lt;citation.value3&gt;IdGraph.IdGraph&lt;/citation.value3&gt;&lt;citation.key4&gt;USCCodeCitation&lt;/citation.key4&gt;&lt;citation.value4&gt;17 U.S.C. §204 &lt;/citation.value4&gt;&lt;citation.key5&gt;USCCodeCitation.USCTitleAndCode&lt;/citation.key5&gt;&lt;citation.value5&gt;17 U.S.C. &lt;/citation.value5&gt;&lt;citation.key6&gt;USCCodeCitation.USCTitleAndCode.USC&lt;/citation.key6&gt;&lt;citation.value6&gt;U.S.C.&lt;/citation.value6&gt;&lt;citation.key7&gt;USCCodeCitation.USCTitleAndCode.Volume&lt;/citation.key7&gt;&lt;citation.value7&gt;17&lt;/citation.value7&gt;&lt;citation.key8&gt;USCCodeCitation.USCTitleAndCode._Pattern&lt;/citation.key8&gt;&lt;citation.value8&gt;USCTitleAndCode.USCTitleAndCode&lt;/citation.value8&gt;&lt;citation.key9&gt;USCCodeCitation._Pattern&lt;/citation.key9&gt;&lt;citation.value9&gt;USCCodeCitation.USCCodeCitation&lt;/citation.value9&gt;&lt;citation.key10&gt;USCCodeCitation.__SectionOrSections&lt;/citation.key10&gt;&lt;citation.value10&gt; §204 &lt;/citation.value10&gt;&lt;citation.key11&gt;USCCodeCitation.__SectionOrSections.RequiredSectionSymbol&lt;/citation.key11&gt;&lt;citation.value11&gt; §&lt;/citation.value11&gt;&lt;citation.key12&gt;USCCodeCitation.__SectionOrSections.RequiredSectionSymbol.SectionSymbol&lt;/citation.key12&gt;&lt;citation.value12&gt; §&lt;/citation.value12&gt;&lt;citation.key13&gt;USCCodeCitation.__SectionOrSections.RequiredSectionSymbol._Pattern&lt;/citation.key13&gt;&lt;citation.value13&gt;RequiredSectionSymbol.RequiredSectionSymbol&lt;/citation.value13&gt;&lt;citation.key14&gt;USCCodeCitation.__SectionOrSections.SectionNumberList&lt;/citation.key14&gt;&lt;citation.value14&gt;204 &lt;/citation.value14&gt;&lt;citation.key15&gt;USCCodeCitation.__SectionOrSections.SectionNumberList.SectionNumberScalarOrRange&lt;/citation.key15&gt;&lt;citation.value15&gt;204 &lt;/citation.value15&gt;&lt;citation.key16&gt;USCCodeCitation.__SectionOrSections.SectionNumberList.SectionNumberScalarOrRange.SectionNumber&lt;/citation.key16&gt;&lt;citation.value16&gt;204&lt;/citation.value16&gt;&lt;citation.key17&gt;USCCodeCitation.__SectionOrSections.SectionNumberList.SectionNumberScalarOrRange._Pattern&lt;/citation.key17&gt;&lt;citation.value17&gt;SectionNumberScalarOrRange.SectionNumberScalarOrRange&lt;/citation.value17&gt;&lt;citation.key18&gt;USCCodeCitation.__SectionOrSections.SectionNumberList._Pattern&lt;/citation.key18&gt;&lt;citation.value18&gt;SectionNumberList.SectionNumberList&lt;/citation.value18&gt;&lt;citation.key19&gt;USCCodeCitation.__SectionOrSections._Pattern&lt;/citation.key19&gt;&lt;citation.value19&gt;SectionOrSections.SectionOrSections&lt;/citation.value19&gt;&lt;citation.key20&gt;__ActNameAndSection._Pattern&lt;/citation.key20&gt;&lt;citation.value20&gt;ActNameAndSection.ActNameAndSection&lt;/citation.value20&gt;&lt;citation.key21&gt;__AfterStatutoryCite&lt;/citation.key21&gt;&lt;citation.value21&gt; (2006)&lt;/citation.value21&gt;&lt;citation.key22&gt;__AfterStatutoryCite.StatutoryCodeEditionCite&lt;/citation.key22&gt;&lt;citation.value22&gt;(2006)&lt;/citation.value22&gt;&lt;citation.key23&gt;__AfterStatutoryCite.StatutoryCodeEditionCite.(&lt;/citation.key23&gt;&lt;citation.value23&gt;(&lt;/citation.value23&gt;&lt;citation.key24&gt;__AfterStatutoryCite.StatutoryCodeEditionCite.)&lt;/citation.key24&gt;&lt;citation.value24&gt;)&lt;/citation.value24&gt;&lt;citation.key25&gt;__AfterStatutoryCite.StatutoryCodeEditionCite.StatutoryCodeEdition&lt;/citation.key25&gt;&lt;citation.value25&gt;2006&lt;/citation.value25&gt;&lt;citation.key26&gt;__AfterStatutoryCite.StatutoryCodeEditionCite.StatutoryCodeEdition.Publisher&lt;/citation.key26&gt;&lt;citation.value26&gt;&lt;/citation.value26&gt;&lt;citation.key27&gt;__AfterStatutoryCite.StatutoryCodeEditionCite.StatutoryCodeEdition.Year&lt;/citation.key27&gt;&lt;citation.value27&gt;2006&lt;/citation.value27&gt;&lt;citation.key28&gt;__AfterStatutoryCite.StatutoryCodeEditionCite.StatutoryCodeEdition.Year.Year&lt;/citation.key28&gt;&lt;citation.value28&gt;2006&lt;/citation.value28&gt;&lt;citation.key29&gt;__AfterStatutoryCite.StatutoryCodeEditionCite.StatutoryCodeEdition.Year._Pattern&lt;/citation.key29&gt;&lt;citation.value29&gt;Year.Year&lt;/citation.value29&gt;&lt;citation.key30&gt;__AfterStatutoryCite.StatutoryCodeEditionCite.StatutoryCodeEdition._Pattern&lt;/citation.key30&gt;&lt;citation.value30&gt;StatutoryCodeEdition.StatutoryCodeEdition&lt;/citation.value30&gt;&lt;citation.key31&gt;__AfterStatutoryCite.StatutoryCodeEditionCite._Pattern&lt;/citation.key31&gt;&lt;citation.value31&gt;StatutoryCodeEditionCite.StatutoryCodeEditionCite&lt;/citation.value31&gt;&lt;citation.key32&gt;__AfterStatutoryCite._Pattern&lt;/citation.key32&gt;&lt;citation.value32&gt;AfterStatutoryCite.AfterStatutoryCite&lt;/citation.value32&gt;&lt;citation.key33&gt;__StatuteParentheticals._Pattern&lt;/citation.key33&gt;&lt;citation.value33&gt;StatuteParentheticals.StatuteParentheticals&lt;/citation.value33&gt;&lt;/citation&gt;_x000a_"/>
    <w:docVar w:name="CITRUS_BOOKMARK19[0]" w:val="&lt;#1&gt;&lt;citation&gt;&lt;citation._original_string&gt;Id. § 506&lt;/citation._original_string&gt;&lt;citation._current_string&gt;Id. § 506&lt;/citation._current_string&gt;&lt;citation._full_string&gt;17 U.S.C. §506 (2006)&lt;/citation._full_string&gt;&lt;citation._current_format&gt;Id.USCId&lt;/citation._current_format&gt;&lt;citation.name&gt;&lt;/citation.name&gt;&lt;citation.key0&gt;Id&lt;/citation.key0&gt;&lt;citation.value0&gt;Id. &lt;/citation.value0&gt;&lt;citation.key1&gt;Id.ForbiddenComma._Pattern&lt;/citation.key1&gt;&lt;citation.value1&gt;ForbiddenComma.ForbiddenComma&lt;/citation.value1&gt;&lt;citation.key2&gt;Id.Id&lt;/citation.key2&gt;&lt;citation.value2&gt;Id.&lt;/citation.value2&gt;&lt;citation.key3&gt;Id._Pattern&lt;/citation.key3&gt;&lt;citation.value3&gt;IdGraph.IdGraph&lt;/citation.value3&gt;&lt;citation.key4&gt;USCCodeCitation&lt;/citation.key4&gt;&lt;citation.value4&gt;17 U.S.C. §506 &lt;/citation.value4&gt;&lt;citation.key5&gt;USCCodeCitation.USCTitleAndCode&lt;/citation.key5&gt;&lt;citation.value5&gt;17 U.S.C. &lt;/citation.value5&gt;&lt;citation.key6&gt;USCCodeCitation.USCTitleAndCode.USC&lt;/citation.key6&gt;&lt;citation.value6&gt;U.S.C.&lt;/citation.value6&gt;&lt;citation.key7&gt;USCCodeCitation.USCTitleAndCode.Volume&lt;/citation.key7&gt;&lt;citation.value7&gt;17&lt;/citation.value7&gt;&lt;citation.key8&gt;USCCodeCitation.USCTitleAndCode._Pattern&lt;/citation.key8&gt;&lt;citation.value8&gt;USCTitleAndCode.USCTitleAndCode&lt;/citation.value8&gt;&lt;citation.key9&gt;USCCodeCitation._Pattern&lt;/citation.key9&gt;&lt;citation.value9&gt;USCCodeCitation.USCCodeCitation&lt;/citation.value9&gt;&lt;citation.key10&gt;USCCodeCitation.__SectionOrSections&lt;/citation.key10&gt;&lt;citation.value10&gt; §506 &lt;/citation.value10&gt;&lt;citation.key11&gt;USCCodeCitation.__SectionOrSections.RequiredSectionSymbol&lt;/citation.key11&gt;&lt;citation.value11&gt; §&lt;/citation.value11&gt;&lt;citation.key12&gt;USCCodeCitation.__SectionOrSections.RequiredSectionSymbol.SectionSymbol&lt;/citation.key12&gt;&lt;citation.value12&gt; §&lt;/citation.value12&gt;&lt;citation.key13&gt;USCCodeCitation.__SectionOrSections.RequiredSectionSymbol._Pattern&lt;/citation.key13&gt;&lt;citation.value13&gt;RequiredSectionSymbol.RequiredSectionSymbol&lt;/citation.value13&gt;&lt;citation.key14&gt;USCCodeCitation.__SectionOrSections.SectionNumberList&lt;/citation.key14&gt;&lt;citation.value14&gt;506 &lt;/citation.value14&gt;&lt;citation.key15&gt;USCCodeCitation.__SectionOrSections.SectionNumberList.SectionNumberScalarOrRange&lt;/citation.key15&gt;&lt;citation.value15&gt;506 &lt;/citation.value15&gt;&lt;citation.key16&gt;USCCodeCitation.__SectionOrSections.SectionNumberList.SectionNumberScalarOrRange.SectionNumber&lt;/citation.key16&gt;&lt;citation.value16&gt;506&lt;/citation.value16&gt;&lt;citation.key17&gt;USCCodeCitation.__SectionOrSections.SectionNumberList.SectionNumberScalarOrRange._Pattern&lt;/citation.key17&gt;&lt;citation.value17&gt;SectionNumberScalarOrRange.SectionNumberScalarOrRange&lt;/citation.value17&gt;&lt;citation.key18&gt;USCCodeCitation.__SectionOrSections.SectionNumberList._Pattern&lt;/citation.key18&gt;&lt;citation.value18&gt;SectionNumberList.SectionNumberList&lt;/citation.value18&gt;&lt;citation.key19&gt;USCCodeCitation.__SectionOrSections._Pattern&lt;/citation.key19&gt;&lt;citation.value19&gt;SectionOrSections.SectionOrSections&lt;/citation.value19&gt;&lt;citation.key20&gt;__ActNameAndSection._Pattern&lt;/citation.key20&gt;&lt;citation.value20&gt;ActNameAndSection.ActNameAndSection&lt;/citation.value20&gt;&lt;citation.key21&gt;__AfterStatutoryCite&lt;/citation.key21&gt;&lt;citation.value21&gt; (2006)&lt;/citation.value21&gt;&lt;citation.key22&gt;__AfterStatutoryCite.StatutoryCodeEditionCite&lt;/citation.key22&gt;&lt;citation.value22&gt;(2006)&lt;/citation.value22&gt;&lt;citation.key23&gt;__AfterStatutoryCite.StatutoryCodeEditionCite.(&lt;/citation.key23&gt;&lt;citation.value23&gt;(&lt;/citation.value23&gt;&lt;citation.key24&gt;__AfterStatutoryCite.StatutoryCodeEditionCite.)&lt;/citation.key24&gt;&lt;citation.value24&gt;)&lt;/citation.value24&gt;&lt;citation.key25&gt;__AfterStatutoryCite.StatutoryCodeEditionCite.StatutoryCodeEdition&lt;/citation.key25&gt;&lt;citation.value25&gt;2006&lt;/citation.value25&gt;&lt;citation.key26&gt;__AfterStatutoryCite.StatutoryCodeEditionCite.StatutoryCodeEdition.Publisher&lt;/citation.key26&gt;&lt;citation.value26&gt;&lt;/citation.value26&gt;&lt;citation.key27&gt;__AfterStatutoryCite.StatutoryCodeEditionCite.StatutoryCodeEdition.Year&lt;/citation.key27&gt;&lt;citation.value27&gt;2006&lt;/citation.value27&gt;&lt;citation.key28&gt;__AfterStatutoryCite.StatutoryCodeEditionCite.StatutoryCodeEdition.Year.Year&lt;/citation.key28&gt;&lt;citation.value28&gt;2006&lt;/citation.value28&gt;&lt;citation.key29&gt;__AfterStatutoryCite.StatutoryCodeEditionCite.StatutoryCodeEdition.Year._Pattern&lt;/citation.key29&gt;&lt;citation.value29&gt;Year.Year&lt;/citation.value29&gt;&lt;citation.key30&gt;__AfterStatutoryCite.StatutoryCodeEditionCite.StatutoryCodeEdition._Pattern&lt;/citation.key30&gt;&lt;citation.value30&gt;StatutoryCodeEdition.StatutoryCodeEdition&lt;/citation.value30&gt;&lt;citation.key31&gt;__AfterStatutoryCite.StatutoryCodeEditionCite._Pattern&lt;/citation.key31&gt;&lt;citation.value31&gt;StatutoryCodeEditionCite.StatutoryCodeEditionCite&lt;/citation.value31&gt;&lt;citation.key32&gt;__AfterStatutoryCite._Pattern&lt;/citation.key32&gt;&lt;citation.value32&gt;AfterStatutoryCite.AfterStatutoryCite&lt;/citation.value32&gt;&lt;citation.key33&gt;__StatuteParentheticals._Pattern&lt;/citation.key33&gt;&lt;citation.value33&gt;StatuteParentheticals.StatuteParentheticals&lt;/citation.value33&gt;&lt;/citation&gt;_x000a_"/>
    <w:docVar w:name="CITRUS_BOOKMARK2[0]" w:val="&lt;#1&gt;&lt;citation&gt;&lt;citation._original_string&gt;Black's Law Dictionary (9th ed. 2009)&lt;/citation._original_string&gt;&lt;citation._current_string&gt;Black's Law Dictionary (9th ed. 2009)&lt;/citation._current_string&gt;&lt;citation._full_string&gt;Black's Law Dictionary (9th ed. 2009)&lt;/citation._full_string&gt;&lt;citation._current_format&gt;Full.Dictionaries&lt;/citation._current_format&gt;&lt;citation.name&gt;&lt;/citation.name&gt;&lt;citation.key0&gt;DictionaryEdition&lt;/citation.key0&gt;&lt;citation.value0&gt; (9th ed. 2009)&lt;/citation.value0&gt;&lt;citation.key1&gt;DictionaryEdition.(&lt;/citation.key1&gt;&lt;citation.value1&gt;(&lt;/citation.value1&gt;&lt;citation.key2&gt;DictionaryEdition.)&lt;/citation.key2&gt;&lt;citation.value2&gt;)&lt;/citation.value2&gt;&lt;citation.key3&gt;DictionaryEdition.DictionaryEditionName&lt;/citation.key3&gt;&lt;citation.value3&gt;9th ed. &lt;/citation.value3&gt;&lt;citation.key4&gt;DictionaryEdition.DictionaryEditionName.Edition&lt;/citation.key4&gt;&lt;citation.value4&gt;ed.&lt;/citation.value4&gt;&lt;citation.key5&gt;DictionaryEdition.DictionaryEditionName.EditionOrdinal&lt;/citation.key5&gt;&lt;citation.value5&gt;9th&lt;/citation.value5&gt;&lt;citation.key6&gt;DictionaryEdition.DictionaryEditionName._Pattern&lt;/citation.key6&gt;&lt;citation.value6&gt;DictionaryEditionName.DictionaryEditionName&lt;/citation.value6&gt;&lt;citation.key7&gt;DictionaryEdition.ForbiddenComma._Pattern&lt;/citation.key7&gt;&lt;citation.value7&gt;ForbiddenComma.ForbiddenComma&lt;/citation.value7&gt;&lt;citation.key8&gt;DictionaryEdition.Year&lt;/citation.key8&gt;&lt;citation.value8&gt;2009 &lt;/citation.value8&gt;&lt;citation.key9&gt;DictionaryEdition.Year.Year&lt;/citation.key9&gt;&lt;citation.value9&gt;2009&lt;/citation.value9&gt;&lt;citation.key10&gt;DictionaryEdition.Year._Pattern&lt;/citation.key10&gt;&lt;citation.value10&gt;Year.Year&lt;/citation.value10&gt;&lt;citation.key11&gt;DictionaryEdition._Pattern&lt;/citation.key11&gt;&lt;citation.value11&gt;DictionaryEdition.DictionaryEdition&lt;/citation.value11&gt;&lt;citation.key12&gt;DictionaryName&lt;/citation.key12&gt;&lt;citation.value12&gt;Black's Law Dictionary&lt;/citation.value12&gt;&lt;citation.key13&gt;Id&lt;/citation.key13&gt;&lt;citation.value13&gt;Id. &lt;/citation.value13&gt;&lt;citation.key14&gt;Id.Id&lt;/citation.key14&gt;&lt;citation.value14&gt;Id.&lt;/citation.value14&gt;&lt;citation.key15&gt;Id._Pattern&lt;/citation.key15&gt;&lt;citation.value15&gt;IdGraph.IdGraph&lt;/citation.value15&gt;&lt;/citation&gt;_x000a_"/>
    <w:docVar w:name="CITRUS_BOOKMARK20[0]" w:val="&lt;#1&gt;&lt;citation&gt;&lt;citation._original_string&gt;1 Lindey on Entertainment, Publishing and the Arts § 1:14 (3d ed. 2011)&lt;/citation._original_string&gt;&lt;citation._current_string&gt;1 Lindey on Entertainment, Publishing and the Arts § 1:14 (3d ed. 2011)&lt;/citation._current_string&gt;&lt;citation._full_string&gt;1 Lindey on Entertainment, Publishing and the Arts § 1:14 (3d ed. 2011)&lt;/citation._full_string&gt;&lt;citation._current_format&gt;Full.Nonperiodical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NonperiodicalsEnd&lt;/citation.key3&gt;&lt;citation.value3&gt; § 1:14 (3d ed. 2011) &lt;/citation.value3&gt;&lt;citation.key4&gt;NonperiodicalsEnd.(&lt;/citation.key4&gt;&lt;citation.value4&gt;(&lt;/citation.value4&gt;&lt;citation.key5&gt;NonperiodicalsEnd.)&lt;/citation.key5&gt;&lt;citation.value5&gt;)&lt;/citation.value5&gt;&lt;citation.key6&gt;NonperiodicalsEnd.ForbiddenComma._Pattern&lt;/citation.key6&gt;&lt;citation.value6&gt;ForbiddenComma.ForbiddenComma&lt;/citation.value6&gt;&lt;citation.key7&gt;NonperiodicalsEnd._Pattern&lt;/citation.key7&gt;&lt;citation.value7&gt;NonperiodicalsEnd.NonperiodicalsEnd&lt;/citation.value7&gt;&lt;citation.key8&gt;NonperiodicalsEnd.__Edition&lt;/citation.key8&gt;&lt;citation.value8&gt;3d ed. &lt;/citation.value8&gt;&lt;citation.key9&gt;NonperiodicalsEnd.__Edition.Edition&lt;/citation.key9&gt;&lt;citation.value9&gt;ed.&lt;/citation.value9&gt;&lt;citation.key10&gt;NonperiodicalsEnd.__Edition.EditionNumber&lt;/citation.key10&gt;&lt;citation.value10&gt;3d&lt;/citation.value10&gt;&lt;citation.key11&gt;NonperiodicalsEnd.__Edition._Pattern&lt;/citation.key11&gt;&lt;citation.value11&gt;NonperiodicalsEdition.NonperiodicalsEdition&lt;/citation.value11&gt;&lt;citation.key12&gt;NonperiodicalsEnd.__PinSections&lt;/citation.key12&gt;&lt;citation.value12&gt; § 1:14 &lt;/citation.value12&gt;&lt;citation.key13&gt;NonperiodicalsEnd.__PinSections.First&lt;/citation.key13&gt;&lt;citation.value13&gt;1:14&lt;/citation.value13&gt;&lt;citation.key14&gt;NonperiodicalsEnd.__PinSections.SectionSymbol&lt;/citation.key14&gt;&lt;citation.value14&gt; §&lt;/citation.value14&gt;&lt;citation.key15&gt;NonperiodicalsEnd.__PinSections._Pattern&lt;/citation.key15&gt;&lt;citation.value15&gt;PinSections.PinSections&lt;/citation.value15&gt;&lt;citation.key16&gt;NonperiodicalsEnd.__Year&lt;/citation.key16&gt;&lt;citation.value16&gt;2011 &lt;/citation.value16&gt;&lt;citation.key17&gt;NonperiodicalsEnd.__Year.Year&lt;/citation.key17&gt;&lt;citation.value17&gt;2011&lt;/citation.value17&gt;&lt;citation.key18&gt;NonperiodicalsEnd.__Year._Pattern&lt;/citation.key18&gt;&lt;citation.value18&gt;Year.Year&lt;/citation.value18&gt;&lt;citation.key19&gt;NonperiodicalsEnd.__at&lt;/citation.key19&gt;&lt;citation.value19&gt;at &lt;/citation.value19&gt;&lt;citation.key20&gt;Title&lt;/citation.key20&gt;&lt;citation.value20&gt;Lindey on Entertainment, Publishing and the Arts&lt;/citation.value20&gt;&lt;citation.key21&gt;__Volume&lt;/citation.key21&gt;&lt;citation.value21&gt;1&lt;/citation.value21&gt;&lt;/citation&gt;_x000a_"/>
    <w:docVar w:name="CITRUS_BOOKMARK21[0]" w:val="&lt;#1&gt;&lt;citation&gt;&lt;citation._original_string&gt;Preliminary Draft for Revised U.S. Copyright Law and Discussions and Comments on the Draft, 88th Cong., 2d Sess., Copyright Law Revision, Part 3, p. 15 n.11 (H. Judiciary Comm. Print 1964)&lt;/citation._original_string&gt;&lt;citation._current_string&gt;Preliminary Draft for Revised U.S. Copyright Law and Discussions and Comments on the Draft, 88th Cong., 2d Sess., Copyright Law Revision, Part 3, p. 15 n.11 (H. Judiciary Comm. Print 1964)&lt;/citation._current_string&gt;&lt;citation._full_string&gt;Preliminary Draft for Revised U.S. Copyright Law and Discussions and Comments on the Draft, 88th Cong., 2d Sess., Copyright Law Revision, Part 3, p. 15 n.11 (H. Judiciary Comm. Print 1964)&lt;/citation._full_string&gt;&lt;citation._current_format&gt;Full.Nonperiodical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NonperiodicalsEnd&lt;/citation.key3&gt;&lt;citation.value3&gt;15 n.11 (H. Judiciary Comm. Print 1964) &lt;/citation.value3&gt;&lt;citation.key4&gt;NonperiodicalsEnd.(&lt;/citation.key4&gt;&lt;citation.value4&gt;(&lt;/citation.value4&gt;&lt;citation.key5&gt;NonperiodicalsEnd.)&lt;/citation.key5&gt;&lt;citation.value5&gt;)&lt;/citation.value5&gt;&lt;citation.key6&gt;NonperiodicalsEnd.ForbiddenComma._Pattern&lt;/citation.key6&gt;&lt;citation.value6&gt;ForbiddenComma.ForbiddenComma&lt;/citation.value6&gt;&lt;citation.key7&gt;NonperiodicalsEnd.Publisher&lt;/citation.key7&gt;&lt;citation.value7&gt;H. Judiciary Comm. Print&lt;/citation.value7&gt;&lt;citation.key8&gt;NonperiodicalsEnd._Pattern&lt;/citation.key8&gt;&lt;citation.value8&gt;NonperiodicalsEnd.NonperiodicalsEnd&lt;/citation.value8&gt;&lt;citation.key9&gt;NonperiodicalsEnd.__PinPages&lt;/citation.key9&gt;&lt;citation.value9&gt;15 n.11&lt;/citation.value9&gt;&lt;citation.key10&gt;NonperiodicalsEnd.__PinPages.First&lt;/citation.key10&gt;&lt;citation.value10&gt;15&lt;/citation.value10&gt;&lt;citation.key11&gt;NonperiodicalsEnd.__PinPages.First._Pattern&lt;/citation.key11&gt;&lt;citation.value11&gt;FirstPageInRange.FirstPageInRange&lt;/citation.value11&gt;&lt;citation.key12&gt;NonperiodicalsEnd.__PinPages.First.__PageNumber&lt;/citation.key12&gt;&lt;citation.value12&gt;15&lt;/citation.value12&gt;&lt;citation.key13&gt;NonperiodicalsEnd.__PinPages.FnList&lt;/citation.key13&gt;&lt;citation.value13&gt; n.11&lt;/citation.value13&gt;&lt;citation.key14&gt;NonperiodicalsEnd.__PinPages.FnList.FirstFn&lt;/citation.key14&gt;&lt;citation.value14&gt;11&lt;/citation.value14&gt;&lt;citation.key15&gt;NonperiodicalsEnd.__PinPages.FnList.FirstFn.First&lt;/citation.key15&gt;&lt;citation.value15&gt;11&lt;/citation.value15&gt;&lt;citation.key16&gt;NonperiodicalsEnd.__PinPages.FnList.FirstFn.First.ArabicFn&lt;/citation.key16&gt;&lt;citation.value16&gt;11&lt;/citation.value16&gt;&lt;citation.key17&gt;NonperiodicalsEnd.__PinPages.FnList.FirstFn.First._Pattern&lt;/citation.key17&gt;&lt;citation.value17&gt;FirstFnNumber.FirstFnNumber&lt;/citation.value17&gt;&lt;citation.key18&gt;NonperiodicalsEnd.__PinPages.FnList.FirstFn._Pattern&lt;/citation.key18&gt;&lt;citation.value18&gt;FnScalarOrRange.FnScalarOrRange&lt;/citation.value18&gt;&lt;citation.key19&gt;NonperiodicalsEnd.__PinPages.FnList._Pattern&lt;/citation.key19&gt;&lt;citation.value19&gt;FnList.FnList&lt;/citation.value19&gt;&lt;citation.key20&gt;NonperiodicalsEnd.__PinPages.FnList.n_or_nn&lt;/citation.key20&gt;&lt;citation.value20&gt;1&lt;/citation.value20&gt;&lt;citation.key21&gt;NonperiodicalsEnd.__PinPages._Pattern&lt;/citation.key21&gt;&lt;citation.value21&gt;PinPages.PinPages&lt;/citation.value21&gt;&lt;citation.key22&gt;NonperiodicalsEnd.__Year&lt;/citation.key22&gt;&lt;citation.value22&gt;1964 &lt;/citation.value22&gt;&lt;citation.key23&gt;NonperiodicalsEnd.__Year.Year&lt;/citation.key23&gt;&lt;citation.value23&gt;1964&lt;/citation.value23&gt;&lt;citation.key24&gt;NonperiodicalsEnd.__Year._Pattern&lt;/citation.key24&gt;&lt;citation.value24&gt;Year.Year&lt;/citation.value24&gt;&lt;citation.key25&gt;NonperiodicalsEnd.__at&lt;/citation.key25&gt;&lt;citation.value25&gt;at &lt;/citation.value25&gt;&lt;citation.key26&gt;Title&lt;/citation.key26&gt;&lt;citation.value26&gt;Preliminary Draft for Revised U.S. Copyright Law and Discussions and Comments on the Draft, 88th Cong., 2d Sess., Copyright Law Revision, Part 3, p.&lt;/citation.value26&gt;&lt;/citation&gt;_x000a_"/>
    <w:docVar w:name="CITRUS_BOOKMARK22[0]" w:val="&lt;#1&gt;&lt;citation&gt;&lt;citation._original_string&gt;H.R.Rep. No. 2237, 89th Cong., 2d Sess. 114, 116 (1966)&lt;/citation._original_string&gt;&lt;citation._current_string&gt;H.R.Rep. No. 2237, 89th Cong., 2d Sess. 114, 116 (1966)&lt;/citation._current_string&gt;&lt;citation._full_string&gt;H.R.Rep. No. 2237, 89th Cong., 2d Sess. 114, 116 (1966)&lt;/citation._full_string&gt;&lt;citation._current_format&gt;Full.Nonperiodical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NonperiodicalsEnd&lt;/citation.key3&gt;&lt;citation.value3&gt;114, 116 (1966) &lt;/citation.value3&gt;&lt;citation.key4&gt;NonperiodicalsEnd.(&lt;/citation.key4&gt;&lt;citation.value4&gt;(&lt;/citation.value4&gt;&lt;citation.key5&gt;NonperiodicalsEnd.)&lt;/citation.key5&gt;&lt;citation.value5&gt;)&lt;/citation.value5&gt;&lt;citation.key6&gt;NonperiodicalsEnd.ForbiddenComma&lt;/citation.key6&gt;&lt;citation.value6&gt;&lt;/citation.value6&gt;&lt;citation.key7&gt;NonperiodicalsEnd.ForbiddenComma.Comma&lt;/citation.key7&gt;&lt;citation.value7&gt;,&lt;/citation.value7&gt;&lt;citation.key8&gt;NonperiodicalsEnd.ForbiddenComma._Pattern&lt;/citation.key8&gt;&lt;citation.value8&gt;ForbiddenComma.ForbiddenComma&lt;/citation.value8&gt;&lt;citation.key9&gt;NonperiodicalsEnd._Pattern&lt;/citation.key9&gt;&lt;citation.value9&gt;NonperiodicalsEnd.NonperiodicalsEnd&lt;/citation.value9&gt;&lt;citation.key10&gt;NonperiodicalsEnd.__PinPages&lt;/citation.key10&gt;&lt;citation.value10&gt;114, 116&lt;/citation.value10&gt;&lt;citation.key11&gt;NonperiodicalsEnd.__PinPages.First&lt;/citation.key11&gt;&lt;citation.value11&gt;114&lt;/citation.value11&gt;&lt;citation.key12&gt;NonperiodicalsEnd.__PinPages.First._Pattern&lt;/citation.key12&gt;&lt;citation.value12&gt;FirstPageInRange.FirstPageInRange&lt;/citation.value12&gt;&lt;citation.key13&gt;NonperiodicalsEnd.__PinPages.First.__PageNumber&lt;/citation.key13&gt;&lt;citation.value13&gt;114&lt;/citation.value13&gt;&lt;citation.key14&gt;NonperiodicalsEnd.__PinPages.RequiredComma&lt;/citation.key14&gt;&lt;citation.value14&gt;, &lt;/citation.value14&gt;&lt;citation.key15&gt;NonperiodicalsEnd.__PinPages.RequiredComma.Comma&lt;/citation.key15&gt;&lt;citation.value15&gt;,&lt;/citation.value15&gt;&lt;citation.key16&gt;NonperiodicalsEnd.__PinPages.RequiredComma._Pattern&lt;/citation.key16&gt;&lt;citation.value16&gt;RequiredComma.RequiredComma&lt;/citation.value16&gt;&lt;citation.key17&gt;NonperiodicalsEnd.__PinPages._Pattern&lt;/citation.key17&gt;&lt;citation.value17&gt;PinPages.PinPages&lt;/citation.value17&gt;&lt;citation.key18&gt;NonperiodicalsEnd.__PinPages.__PinPages&lt;/citation.key18&gt;&lt;citation.value18&gt;116&lt;/citation.value18&gt;&lt;citation.key19&gt;NonperiodicalsEnd.__PinPages.__PinPages.First&lt;/citation.key19&gt;&lt;citation.value19&gt;116&lt;/citation.value19&gt;&lt;citation.key20&gt;NonperiodicalsEnd.__PinPages.__PinPages.First._Pattern&lt;/citation.key20&gt;&lt;citation.value20&gt;FirstPageInRange.FirstPageInRange&lt;/citation.value20&gt;&lt;citation.key21&gt;NonperiodicalsEnd.__PinPages.__PinPages.First.__PageNumber&lt;/citation.key21&gt;&lt;citation.value21&gt;116&lt;/citation.value21&gt;&lt;citation.key22&gt;NonperiodicalsEnd.__PinPages.__PinPages._Pattern&lt;/citation.key22&gt;&lt;citation.value22&gt;PinPages.PinPages&lt;/citation.value22&gt;&lt;citation.key23&gt;NonperiodicalsEnd.__Year&lt;/citation.key23&gt;&lt;citation.value23&gt;1966 &lt;/citation.value23&gt;&lt;citation.key24&gt;NonperiodicalsEnd.__Year.Year&lt;/citation.key24&gt;&lt;citation.value24&gt;1966&lt;/citation.value24&gt;&lt;citation.key25&gt;NonperiodicalsEnd.__Year._Pattern&lt;/citation.key25&gt;&lt;citation.value25&gt;Year.Year&lt;/citation.value25&gt;&lt;citation.key26&gt;NonperiodicalsEnd.__at&lt;/citation.key26&gt;&lt;citation.value26&gt;at &lt;/citation.value26&gt;&lt;citation.key27&gt;Title&lt;/citation.key27&gt;&lt;citation.value27&gt;H.R.Rep. No. 2237, 89th Cong., 2d Sess.&lt;/citation.value27&gt;&lt;/citation&gt;_x000a_"/>
    <w:docVar w:name="CITRUS_BOOKMARK23[0]" w:val="&lt;#1&gt;&lt;citation&gt;&lt;citation._original_string&gt;H.R. Rep. No. 51-374, 89th Cong., 1st Sess., Part 5, 1964 Revision Bill with Discussions and Comments, at 145 (1965)&lt;/citation._original_string&gt;&lt;citation._current_string&gt;H.R. Rep. No. 51-374, 89th Cong., 1st Sess., Part 5, 1964 Revision Bill with Discussions and Comments, at 145 (1965)&lt;/citation._current_string&gt;&lt;citation._full_string&gt;H.R. Rep. No. 51-374, 89th Cong., 1st Sess., Part 5, 1964 Revision Bill with Discussions and Comments, at 145 (1965)&lt;/citation._full_string&gt;&lt;citation._current_format&gt;Full.Nonperiodical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NonperiodicalsEnd&lt;/citation.key3&gt;&lt;citation.value3&gt;, at 145 (1965) &lt;/citation.value3&gt;&lt;citation.key4&gt;NonperiodicalsEnd.(&lt;/citation.key4&gt;&lt;citation.value4&gt;(&lt;/citation.value4&gt;&lt;citation.key5&gt;NonperiodicalsEnd.)&lt;/citation.key5&gt;&lt;citation.value5&gt;)&lt;/citation.value5&gt;&lt;citation.key6&gt;NonperiodicalsEnd.RequiredComma&lt;/citation.key6&gt;&lt;citation.value6&gt;, &lt;/citation.value6&gt;&lt;citation.key7&gt;NonperiodicalsEnd.RequiredComma.Comma&lt;/citation.key7&gt;&lt;citation.value7&gt;,&lt;/citation.value7&gt;&lt;citation.key8&gt;NonperiodicalsEnd.RequiredComma._Pattern&lt;/citation.key8&gt;&lt;citation.value8&gt;RequiredComma.RequiredComma&lt;/citation.value8&gt;&lt;citation.key9&gt;NonperiodicalsEnd._Pattern&lt;/citation.key9&gt;&lt;citation.value9&gt;NonperiodicalsEnd.NonperiodicalsEnd&lt;/citation.value9&gt;&lt;citation.key10&gt;NonperiodicalsEnd.__At&lt;/citation.key10&gt;&lt;citation.value10&gt;at&lt;/citation.value10&gt;&lt;citation.key11&gt;NonperiodicalsEnd.__PinPages&lt;/citation.key11&gt;&lt;citation.value11&gt;145&lt;/citation.value11&gt;&lt;citation.key12&gt;NonperiodicalsEnd.__PinPages.First&lt;/citation.key12&gt;&lt;citation.value12&gt;145&lt;/citation.value12&gt;&lt;citation.key13&gt;NonperiodicalsEnd.__PinPages.First._Pattern&lt;/citation.key13&gt;&lt;citation.value13&gt;FirstPageInRange.FirstPageInRange&lt;/citation.value13&gt;&lt;citation.key14&gt;NonperiodicalsEnd.__PinPages.First.__PageNumber&lt;/citation.key14&gt;&lt;citation.value14&gt;145&lt;/citation.value14&gt;&lt;citation.key15&gt;NonperiodicalsEnd.__PinPages._Pattern&lt;/citation.key15&gt;&lt;citation.value15&gt;PinPages.PinPages&lt;/citation.value15&gt;&lt;citation.key16&gt;NonperiodicalsEnd.__Year&lt;/citation.key16&gt;&lt;citation.value16&gt;1965 &lt;/citation.value16&gt;&lt;citation.key17&gt;NonperiodicalsEnd.__Year.Year&lt;/citation.key17&gt;&lt;citation.value17&gt;1965&lt;/citation.value17&gt;&lt;citation.key18&gt;NonperiodicalsEnd.__Year._Pattern&lt;/citation.key18&gt;&lt;citation.value18&gt;Year.Year&lt;/citation.value18&gt;&lt;citation.key19&gt;NonperiodicalsEnd.__at&lt;/citation.key19&gt;&lt;citation.value19&gt;at &lt;/citation.value19&gt;&lt;citation.key20&gt;Title&lt;/citation.key20&gt;&lt;citation.value20&gt;H.R. Rep. No. 51-374, 89th Cong., 1st Sess., Part 5, 1964 Revision Bill with Discussions and Comments&lt;/citation.value20&gt;&lt;/citation&gt;_x000a_"/>
    <w:docVar w:name="CITRUS_BOOKMARK24[0]" w:val="&lt;#1&gt;&lt;citation&gt;&lt;citation._original_string&gt;Cmty. for Creative Non-Violence v. Reid, 490 U.S. 730 (1989)&lt;/citation._original_string&gt;&lt;citation._current_string&gt;Cmty. for Creative Non-Violence v. Reid, 490 U.S. 730 (1989)&lt;/citation._current_string&gt;&lt;citation._full_string&gt;Cmty. for Creative Non-Violence v. Reid, 490 U.S. 730 (1989)&lt;/citation._full_string&gt;&lt;citation._current_format&gt;Full.CaseCitation&lt;/citation._current_format&gt;&lt;citation.name&gt;&lt;/citation.name&gt;&lt;citation.key0&gt;,&lt;/citation.key0&gt;&lt;citation.value0&gt;,&lt;/citation.value0&gt;&lt;citation.key1&gt;CaseName&lt;/citation.key1&gt;&lt;citation.value1&gt;Cmty. for Creative Non-Violence v. Reid &lt;/citation.value1&gt;&lt;citation.key2&gt;CaseName.FirstParty&lt;/citation.key2&gt;&lt;citation.value2&gt;Cmty. for Creative Non-Violence &lt;/citation.value2&gt;&lt;citation.key3&gt;CaseName.FirstParty.Party&lt;/citation.key3&gt;&lt;citation.value3&gt;Community for Creative Non-Violence&lt;/citation.value3&gt;&lt;citation.key4&gt;CaseName.FirstParty._Pattern&lt;/citation.key4&gt;&lt;citation.value4&gt;Party.Party&lt;/citation.value4&gt;&lt;citation.key5&gt;CaseName.SecondParty&lt;/citation.key5&gt;&lt;citation.value5&gt;Reid &lt;/citation.value5&gt;&lt;citation.key6&gt;CaseName.SecondParty.Party&lt;/citation.key6&gt;&lt;citation.value6&gt;Reid&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89) &lt;/citation.value10&gt;&lt;citation.key11&gt;CourtParenthetical.Date&lt;/citation.key11&gt;&lt;citation.value11&gt;1989 &lt;/citation.value11&gt;&lt;citation.key12&gt;CourtParenthetical.Date.Year&lt;/citation.key12&gt;&lt;citation.value12&gt;1989 &lt;/citation.value12&gt;&lt;citation.key13&gt;CourtParenthetical.Date.Year.Year&lt;/citation.key13&gt;&lt;citation.value13&gt;1989&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Cmty. for Creative Non-Violence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90 U.S. 730 &lt;/citation.value30&gt;&lt;citation.key31&gt;Reporter.FirstPage&lt;/citation.key31&gt;&lt;citation.value31&gt;730&lt;/citation.value31&gt;&lt;citation.key32&gt;Reporter.Name&lt;/citation.key32&gt;&lt;citation.value32&gt;U.S.&lt;/citation.value32&gt;&lt;citation.key33&gt;Reporter.Volume&lt;/citation.key33&gt;&lt;citation.value33&gt;490&lt;/citation.value33&gt;&lt;citation.key34&gt;Reporter.[&lt;/citation.key34&gt;&lt;citation.value34&gt;[&lt;/citation.value34&gt;&lt;citation.key35&gt;Reporter.]&lt;/citation.key35&gt;&lt;citation.value35&gt;]&lt;/citation.value35&gt;&lt;citation.key36&gt;Reporter._Pattern&lt;/citation.key36&gt;&lt;citation.value36&gt;ShortReporter.ShortReporter&lt;/citation.value36&gt;&lt;citation.key37&gt;Reporter.page&lt;/citation.key37&gt;&lt;citation.value37&gt;page&lt;/citation.value37&gt;&lt;citation.key38&gt;RequiredComma&lt;/citation.key38&gt;&lt;citation.value38&gt;, &lt;/citation.value38&gt;&lt;citation.key39&gt;RequiredComma.Comma&lt;/citation.key39&gt;&lt;citation.value39&gt;,&lt;/citation.value39&gt;&lt;citation.key40&gt;RequiredComma._Pattern&lt;/citation.key40&gt;&lt;citation.value40&gt;RequiredComma.RequiredComma&lt;/citation.value40&gt;&lt;citation.key41&gt;SecondParty&lt;/citation.key41&gt;&lt;citation.value41&gt;Reid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25[0]" w:val="&lt;#1&gt;&lt;citation&gt;&lt;citation._original_string&gt;Schiller &amp; Schmidt v. Nordisco Corp., 969 F.2d 410 (7th Cir. 1992)&lt;/citation._original_string&gt;&lt;citation._current_string&gt;Schiller &amp; Schmidt v. Nordisco Corp., 969 F.2d 410 (7th Cir. 1992)&lt;/citation._current_string&gt;&lt;citation._full_string&gt;Schiller &amp; Schmidt v. Nordisco Corp., 969 F.2d 410 (7th Cir. 1992)&lt;/citation._full_string&gt;&lt;citation._current_format&gt;Full.CaseCitation&lt;/citation._current_format&gt;&lt;citation.name&gt;&lt;/citation.name&gt;&lt;citation.key0&gt;,&lt;/citation.key0&gt;&lt;citation.value0&gt;,&lt;/citation.value0&gt;&lt;citation.key1&gt;CaseName&lt;/citation.key1&gt;&lt;citation.value1&gt;Schiller &amp; Schmidt v. Nordisco Corp. &lt;/citation.value1&gt;&lt;citation.key2&gt;CaseName.FirstParty&lt;/citation.key2&gt;&lt;citation.value2&gt;Schiller &amp; Schmidt &lt;/citation.value2&gt;&lt;citation.key3&gt;CaseName.FirstParty.Party&lt;/citation.key3&gt;&lt;citation.value3&gt;Schiller &amp; Schmidt&lt;/citation.value3&gt;&lt;citation.key4&gt;CaseName.FirstParty._Pattern&lt;/citation.key4&gt;&lt;citation.value4&gt;Party.Party&lt;/citation.value4&gt;&lt;citation.key5&gt;CaseName.SecondParty&lt;/citation.key5&gt;&lt;citation.value5&gt;Nordisco Corp. &lt;/citation.value5&gt;&lt;citation.key6&gt;CaseName.SecondParty.Party&lt;/citation.key6&gt;&lt;citation.value6&gt;Nordisco Corp.&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7th Cir. 1992) &lt;/citation.value10&gt;&lt;citation.key11&gt;CourtParenthetical.CourtName&lt;/citation.key11&gt;&lt;citation.value11&gt;7th Cir. &lt;/citation.value11&gt;&lt;citation.key12&gt;CourtParenthetical.CourtName.CourtName&lt;/citation.key12&gt;&lt;citation.value12&gt;7th Cir.&lt;/citation.value12&gt;&lt;citation.key13&gt;CourtParenthetical.CourtName._Pattern&lt;/citation.key13&gt;&lt;citation.value13&gt;CourtName.CourtName&lt;/citation.value13&gt;&lt;citation.key14&gt;CourtParenthetical.Date&lt;/citation.key14&gt;&lt;citation.value14&gt;1992 &lt;/citation.value14&gt;&lt;citation.key15&gt;CourtParenthetical.Date.Year&lt;/citation.key15&gt;&lt;citation.value15&gt;1992 &lt;/citation.value15&gt;&lt;citation.key16&gt;CourtParenthetical.Date.Year.Year&lt;/citation.key16&gt;&lt;citation.value16&gt;199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410 &lt;/citation.value32&gt;&lt;citation.key33&gt;Reporter.FirstPage&lt;/citation.key33&gt;&lt;citation.value33&gt;410&lt;/citation.value33&gt;&lt;citation.key34&gt;Reporter.Name&lt;/citation.key34&gt;&lt;citation.value34&gt;F.2d&lt;/citation.value34&gt;&lt;citation.key35&gt;Reporter.Volume&lt;/citation.key35&gt;&lt;citation.value35&gt;969&lt;/citation.value35&gt;&lt;citation.key36&gt;Reporter.[&lt;/citation.key36&gt;&lt;citation.value36&gt;[&lt;/citation.value36&gt;&lt;citation.key37&gt;Reporter.]&lt;/citation.key37&gt;&lt;citation.value37&gt;]&lt;/citation.value37&gt;&lt;citation.key38&gt;Reporter._Pattern&lt;/citation.key38&gt;&lt;citation.value38&gt;ShortReporter.ShortReporter&lt;/citation.value38&gt;&lt;citation.key39&gt;Reporter.page&lt;/citation.key39&gt;&lt;citation.value39&gt;page&lt;/citation.value39&gt;&lt;citation.key40&gt;RequiredComma&lt;/citation.key40&gt;&lt;citation.value40&gt;, &lt;/citation.value40&gt;&lt;citation.key41&gt;RequiredComma.Comma&lt;/citation.key41&gt;&lt;citation.value41&gt;,&lt;/citation.value41&gt;&lt;citation.key42&gt;RequiredComma._Pattern&lt;/citation.key42&gt;&lt;citation.value42&gt;RequiredComma.RequiredComma&lt;/citation.value42&gt;&lt;citation.key43&gt;supra&lt;/citation.key43&gt;&lt;citation.value43&gt;&lt;/citation.value43&gt;&lt;citation.key44&gt;supra.,&lt;/citation.key44&gt;&lt;citation.value44&gt;, &lt;/citation.value44&gt;&lt;citation.key45&gt;supra._Pattern&lt;/citation.key45&gt;&lt;citation.value45&gt;ShortCaseSupra.ShortCaseSupra&lt;/citation.value45&gt;&lt;citation.key46&gt;supra.supra&lt;/citation.key46&gt;&lt;citation.value46&gt;supra&lt;/citation.value46&gt;&lt;/citation&gt;_x000a_"/>
    <w:docVar w:name="CITRUS_BOOKMARK26[0]" w:val="&lt;#1&gt;&lt;citation&gt;&lt;citation._original_string&gt;Gladwell Gov't Servs. v. County of Marin, 265 F. App'x 624 (9th Cir. 2008)&lt;/citation._original_string&gt;&lt;citation._current_string&gt;Gladwell Gov't Servs. v. County of Marin, 265 F. App'x 624 (9th Cir. 2008)&lt;/citation._current_string&gt;&lt;citation._full_string&gt;Gladwell Gov't Servs. v. County of Marin, 265 F. App'x 624 (9th Cir. 2008)&lt;/citation._full_string&gt;&lt;citation._current_format&gt;Full.CaseCitation&lt;/citation._current_format&gt;&lt;citation.name&gt;&lt;/citation.name&gt;&lt;citation.key0&gt;,&lt;/citation.key0&gt;&lt;citation.value0&gt;,&lt;/citation.value0&gt;&lt;citation.key1&gt;CaseName&lt;/citation.key1&gt;&lt;citation.value1&gt;Gladwell Gov't Servs. v. County of Marin &lt;/citation.value1&gt;&lt;citation.key2&gt;CaseName.FirstParty&lt;/citation.key2&gt;&lt;citation.value2&gt;Gladwell Gov't Servs. &lt;/citation.value2&gt;&lt;citation.key3&gt;CaseName.FirstParty.Party&lt;/citation.key3&gt;&lt;citation.value3&gt;Gladwell Gov't Servs.&lt;/citation.value3&gt;&lt;citation.key4&gt;CaseName.FirstParty._Pattern&lt;/citation.key4&gt;&lt;citation.value4&gt;Party.Party&lt;/citation.value4&gt;&lt;citation.key5&gt;CaseName.SecondParty&lt;/citation.key5&gt;&lt;citation.value5&gt;County of Marin &lt;/citation.value5&gt;&lt;citation.key6&gt;CaseName.SecondParty.Party&lt;/citation.key6&gt;&lt;citation.value6&gt;County of Marin&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9th Cir. 2008) &lt;/citation.value10&gt;&lt;citation.key11&gt;CourtParenthetical.CourtName&lt;/citation.key11&gt;&lt;citation.value11&gt;9th Cir. &lt;/citation.value11&gt;&lt;citation.key12&gt;CourtParenthetical.CourtName.CourtName&lt;/citation.key12&gt;&lt;citation.value12&gt;9th Cir.&lt;/citation.value12&gt;&lt;citation.key13&gt;CourtParenthetical.CourtName._Pattern&lt;/citation.key13&gt;&lt;citation.value13&gt;CourtName.CourtName&lt;/citation.value13&gt;&lt;citation.key14&gt;CourtParenthetical.Date&lt;/citation.key14&gt;&lt;citation.value14&gt;2008 &lt;/citation.value14&gt;&lt;citation.key15&gt;CourtParenthetical.Date.Year&lt;/citation.key15&gt;&lt;citation.value15&gt;2008 &lt;/citation.value15&gt;&lt;citation.key16&gt;CourtParenthetical.Date.Year.Year&lt;/citation.key16&gt;&lt;citation.value16&gt;2008&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265 F. App'x 624 &lt;/citation.value32&gt;&lt;citation.key33&gt;Reporter.FirstPage&lt;/citation.key33&gt;&lt;citation.value33&gt;624&lt;/citation.value33&gt;&lt;citation.key34&gt;Reporter.Name&lt;/citation.key34&gt;&lt;citation.value34&gt;F. App'x&lt;/citation.value34&gt;&lt;citation.key35&gt;Reporter.Volume&lt;/citation.key35&gt;&lt;citation.value35&gt;265&lt;/citation.value35&gt;&lt;citation.key36&gt;Reporter.[&lt;/citation.key36&gt;&lt;citation.value36&gt;[&lt;/citation.value36&gt;&lt;citation.key37&gt;Reporter.]&lt;/citation.key37&gt;&lt;citation.value37&gt;]&lt;/citation.value37&gt;&lt;citation.key38&gt;Reporter._Pattern&lt;/citation.key38&gt;&lt;citation.value38&gt;ShortReporter.ShortReporter&lt;/citation.value38&gt;&lt;citation.key39&gt;Reporter.page&lt;/citation.key39&gt;&lt;citation.value39&gt;page&lt;/citation.value39&gt;&lt;citation.key40&gt;RequiredComma&lt;/citation.key40&gt;&lt;citation.value40&gt;, &lt;/citation.value40&gt;&lt;citation.key41&gt;RequiredComma.Comma&lt;/citation.key41&gt;&lt;citation.value41&gt;,&lt;/citation.value41&gt;&lt;citation.key42&gt;RequiredComma._Pattern&lt;/citation.key42&gt;&lt;citation.value42&gt;RequiredComma.RequiredComma&lt;/citation.value42&gt;&lt;citation.key43&gt;supra&lt;/citation.key43&gt;&lt;citation.value43&gt;&lt;/citation.value43&gt;&lt;citation.key44&gt;supra.,&lt;/citation.key44&gt;&lt;citation.value44&gt;, &lt;/citation.value44&gt;&lt;citation.key45&gt;supra._Pattern&lt;/citation.key45&gt;&lt;citation.value45&gt;ShortCaseSupra.ShortCaseSupra&lt;/citation.value45&gt;&lt;citation.key46&gt;supra.supra&lt;/citation.key46&gt;&lt;citation.value46&gt;supra&lt;/citation.value46&gt;&lt;/citation&gt;_x000a_"/>
    <w:docVar w:name="CITRUS_BOOKMARK27[0]" w:val="&lt;#1&gt;&lt;citation&gt;&lt;citation._original_string&gt;Playboy Enters. v. Dumas, 53 F.3d 549 (2d Cir. 1995)&lt;/citation._original_string&gt;&lt;citation._current_string&gt;Playboy Enters. v. Dumas, 53 F.3d 549 (2d Cir. 1995)&lt;/citation._current_string&gt;&lt;citation._full_string&gt;Playboy Enters. v. Dumas, 53 F.3d 549 (2d Cir. 1995)&lt;/citation._full_string&gt;&lt;citation._current_format&gt;Full.CaseCitation&lt;/citation._current_format&gt;&lt;citation.name&gt;&lt;/citation.name&gt;&lt;citation.key0&gt;,&lt;/citation.key0&gt;&lt;citation.value0&gt;,&lt;/citation.value0&gt;&lt;citation.key1&gt;CaseName&lt;/citation.key1&gt;&lt;citation.value1&gt;Playboy Enters. v. Dumas &lt;/citation.value1&gt;&lt;citation.key2&gt;CaseName.FirstParty&lt;/citation.key2&gt;&lt;citation.value2&gt;Playboy Enters. &lt;/citation.value2&gt;&lt;citation.key3&gt;CaseName.FirstParty.Party&lt;/citation.key3&gt;&lt;citation.value3&gt;Playboy Enters.&lt;/citation.value3&gt;&lt;citation.key4&gt;CaseName.FirstParty._Pattern&lt;/citation.key4&gt;&lt;citation.value4&gt;Party.Party&lt;/citation.value4&gt;&lt;citation.key5&gt;CaseName.SecondParty&lt;/citation.key5&gt;&lt;citation.value5&gt;Dumas &lt;/citation.value5&gt;&lt;citation.key6&gt;CaseName.SecondParty.Party&lt;/citation.key6&gt;&lt;citation.value6&gt;Dumas&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2d Cir. 1995) &lt;/citation.value10&gt;&lt;citation.key11&gt;CourtParenthetical.CourtName&lt;/citation.key11&gt;&lt;citation.value11&gt;2d Cir. &lt;/citation.value11&gt;&lt;citation.key12&gt;CourtParenthetical.CourtName.CourtName&lt;/citation.key12&gt;&lt;citation.value12&gt;2d Cir.&lt;/citation.value12&gt;&lt;citation.key13&gt;CourtParenthetical.CourtName._Pattern&lt;/citation.key13&gt;&lt;citation.value13&gt;CourtName.CourtName&lt;/citation.value13&gt;&lt;citation.key14&gt;CourtParenthetical.Date&lt;/citation.key14&gt;&lt;citation.value14&gt;1995 &lt;/citation.value14&gt;&lt;citation.key15&gt;CourtParenthetical.Date.Year&lt;/citation.key15&gt;&lt;citation.value15&gt;1995 &lt;/citation.value15&gt;&lt;citation.key16&gt;CourtParenthetical.Date.Year.Year&lt;/citation.key16&gt;&lt;citation.value16&gt;1995&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53 F.3d 549 &lt;/citation.value32&gt;&lt;citation.key33&gt;Reporter.FirstPage&lt;/citation.key33&gt;&lt;citation.value33&gt;549&lt;/citation.value33&gt;&lt;citation.key34&gt;Reporter.Name&lt;/citation.key34&gt;&lt;citation.value34&gt;F.3d&lt;/citation.value34&gt;&lt;citation.key35&gt;Reporter.Volume&lt;/citation.key35&gt;&lt;citation.value35&gt;53&lt;/citation.value35&gt;&lt;citation.key36&gt;Reporter.[&lt;/citation.key36&gt;&lt;citation.value36&gt;[&lt;/citation.value36&gt;&lt;citation.key37&gt;Reporter.]&lt;/citation.key37&gt;&lt;citation.value37&gt;]&lt;/citation.value37&gt;&lt;citation.key38&gt;Reporter._Pattern&lt;/citation.key38&gt;&lt;citation.value38&gt;ShortReporter.ShortReporter&lt;/citation.value38&gt;&lt;citation.key39&gt;Reporter.page&lt;/citation.key39&gt;&lt;citation.value39&gt;page&lt;/citation.value39&gt;&lt;citation.key40&gt;RequiredComma&lt;/citation.key40&gt;&lt;citation.value40&gt;, &lt;/citation.value40&gt;&lt;citation.key41&gt;RequiredComma.Comma&lt;/citation.key41&gt;&lt;citation.value41&gt;,&lt;/citation.value41&gt;&lt;citation.key42&gt;RequiredComma._Pattern&lt;/citation.key42&gt;&lt;citation.value42&gt;RequiredComma.RequiredComma&lt;/citation.value42&gt;&lt;citation.key43&gt;supra&lt;/citation.key43&gt;&lt;citation.value43&gt;&lt;/citation.value43&gt;&lt;citation.key44&gt;supra.,&lt;/citation.key44&gt;&lt;citation.value44&gt;, &lt;/citation.value44&gt;&lt;citation.key45&gt;supra._Pattern&lt;/citation.key45&gt;&lt;citation.value45&gt;ShortCaseSupra.ShortCaseSupra&lt;/citation.value45&gt;&lt;citation.key46&gt;supra.supra&lt;/citation.key46&gt;&lt;citation.value46&gt;supra&lt;/citation.value46&gt;&lt;/citation&gt;_x000a_"/>
    <w:docVar w:name="CITRUS_BOOKMARK28[0]" w:val="&lt;#1&gt;&lt;citation&gt;&lt;citation._original_string&gt;Caminetti v. United States, 242 U.S. 470 (1917)&lt;/citation._original_string&gt;&lt;citation._current_string&gt;Caminetti v. United States, 242 U.S. 470 (1917)&lt;/citation._current_string&gt;&lt;citation._full_string&gt;Caminetti v. United States, 242 U.S. 470 (1917)&lt;/citation._full_string&gt;&lt;citation._current_format&gt;Full.CaseCitation&lt;/citation._current_format&gt;&lt;citation.name&gt;&lt;/citation.name&gt;&lt;citation.key0&gt;,&lt;/citation.key0&gt;&lt;citation.value0&gt;,&lt;/citation.value0&gt;&lt;citation.key1&gt;CaseName.FirstParty.Party&lt;/citation.key1&gt;&lt;citation.value1&gt;Caminetti&lt;/citation.value1&gt;&lt;citation.key2&gt;CaseName.FirstParty._Pattern&lt;/citation.key2&gt;&lt;citation.value2&gt;Party.Party&lt;/citation.value2&gt;&lt;citation.key3&gt;CaseName.SecondParty.Party&lt;/citation.key3&gt;&lt;citation.value3&gt;United States&lt;/citation.value3&gt;&lt;citation.key4&gt;CaseName.SecondParty._Pattern&lt;/citation.key4&gt;&lt;citation.value4&gt;Party.Party&lt;/citation.value4&gt;&lt;citation.key5&gt;CourtParenthetical&lt;/citation.key5&gt;&lt;citation.value5&gt; (1917) &lt;/citation.value5&gt;&lt;citation.key6&gt;CourtParenthetical.Date.Year.Year&lt;/citation.key6&gt;&lt;citation.value6&gt;1917&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Caminetti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242 U.S. 470 &lt;/citation.value23&gt;&lt;citation.key24&gt;Reporter.FirstPage&lt;/citation.key24&gt;&lt;citation.value24&gt;470&lt;/citation.value24&gt;&lt;citation.key25&gt;Reporter.Name&lt;/citation.key25&gt;&lt;citation.value25&gt;U.S.&lt;/citation.value25&gt;&lt;citation.key26&gt;Reporter.Volume&lt;/citation.key26&gt;&lt;citation.value26&gt;242&lt;/citation.value26&gt;&lt;citation.key27&gt;Reporter.[&lt;/citation.key27&gt;&lt;citation.value27&gt;[&lt;/citation.value27&gt;&lt;citation.key28&gt;Reporter.]&lt;/citation.key28&gt;&lt;citation.value28&gt;]&lt;/citation.value28&gt;&lt;citation.key29&gt;Reporter._Pattern&lt;/citation.key29&gt;&lt;citation.value29&gt;Reporter.Reporter&lt;/citation.value29&gt;&lt;citation.key30&gt;Reporter.page&lt;/citation.key30&gt;&lt;citation.value30&gt;page&lt;/citation.value30&gt;&lt;citation.key31&gt;RequiredComma&lt;/citation.key31&gt;&lt;citation.value31&gt;, &lt;/citation.value31&gt;&lt;citation.key32&gt;RequiredComma._Pattern&lt;/citation.key32&gt;&lt;citation.value32&gt;RequiredComma.RequiredComma&lt;/citation.value32&gt;&lt;citation.key33&gt;SecondParty&lt;/citation.key33&gt;&lt;citation.value33&gt;United States &lt;/citation.value33&gt;&lt;citation.key34&gt;supra&lt;/citation.key34&gt;&lt;citation.value34&gt;&lt;/citation.value34&gt;&lt;citation.key35&gt;supra.,&lt;/citation.key35&gt;&lt;citation.value35&gt;, &lt;/citation.value35&gt;&lt;citation.key36&gt;supra._Pattern&lt;/citation.key36&gt;&lt;citation.value36&gt;ShortCaseSupra.ShortCaseSupra&lt;/citation.value36&gt;&lt;citation.key37&gt;supra.supra&lt;/citation.key37&gt;&lt;citation.value37&gt;supra&lt;/citation.value37&gt;&lt;citation.key38&gt;v&lt;/citation.key38&gt;&lt;citation.value38&gt;v.&lt;/citation.value38&gt;&lt;/citation&gt;_x000a_"/>
    <w:docVar w:name="CITRUS_BOOKMARK29[0]" w:val="&lt;#1&gt;&lt;citation&gt;&lt;citation._original_string&gt;Jarecki v. G.D. Searle &amp; Co., 367 U.S. 303 (1961)&lt;/citation._original_string&gt;&lt;citation._current_string&gt;Jarecki v. G.D. Searle &amp; Co., 367 U.S. 303 (1961)&lt;/citation._current_string&gt;&lt;citation._full_string&gt;Jarecki v. G.D. Searle &amp; Co., 367 U.S. 303 (1961)&lt;/citation._full_string&gt;&lt;citation._current_format&gt;Full.CaseCitation&lt;/citation._current_format&gt;&lt;citation.name&gt;&lt;/citation.name&gt;&lt;citation.key0&gt;,&lt;/citation.key0&gt;&lt;citation.value0&gt;,&lt;/citation.value0&gt;&lt;citation.key1&gt;CaseName.FirstParty.Party&lt;/citation.key1&gt;&lt;citation.value1&gt;Jarecki&lt;/citation.value1&gt;&lt;citation.key2&gt;CaseName.FirstParty._Pattern&lt;/citation.key2&gt;&lt;citation.value2&gt;Party.Party&lt;/citation.value2&gt;&lt;citation.key3&gt;CaseName.SecondParty.Party&lt;/citation.key3&gt;&lt;citation.value3&gt;G. D. Searle &amp; Co.&lt;/citation.value3&gt;&lt;citation.key4&gt;CaseName.SecondParty._Pattern&lt;/citation.key4&gt;&lt;citation.value4&gt;Party.Party&lt;/citation.value4&gt;&lt;citation.key5&gt;CourtParenthetical&lt;/citation.key5&gt;&lt;citation.value5&gt; (1961) &lt;/citation.value5&gt;&lt;citation.key6&gt;CourtParenthetical.Date.Year.Year&lt;/citation.key6&gt;&lt;citation.value6&gt;1961&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Jarecki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367 U.S. 303 &lt;/citation.value23&gt;&lt;citation.key24&gt;Reporter.FirstPage&lt;/citation.key24&gt;&lt;citation.value24&gt;303&lt;/citation.value24&gt;&lt;citation.key25&gt;Reporter.Name&lt;/citation.key25&gt;&lt;citation.value25&gt;U.S.&lt;/citation.value25&gt;&lt;citation.key26&gt;Reporter.Volume&lt;/citation.key26&gt;&lt;citation.value26&gt;367&lt;/citation.value26&gt;&lt;citation.key27&gt;Reporter.[&lt;/citation.key27&gt;&lt;citation.value27&gt;[&lt;/citation.value27&gt;&lt;citation.key28&gt;Reporter.]&lt;/citation.key28&gt;&lt;citation.value28&gt;]&lt;/citation.value28&gt;&lt;citation.key29&gt;Reporter._Pattern&lt;/citation.key29&gt;&lt;citation.value29&gt;Reporter.Reporter&lt;/citation.value29&gt;&lt;citation.key30&gt;Reporter.page&lt;/citation.key30&gt;&lt;citation.value30&gt;page&lt;/citation.value30&gt;&lt;citation.key31&gt;RequiredComma&lt;/citation.key31&gt;&lt;citation.value31&gt;, &lt;/citation.value31&gt;&lt;citation.key32&gt;RequiredComma._Pattern&lt;/citation.key32&gt;&lt;citation.value32&gt;RequiredComma.RequiredComma&lt;/citation.value32&gt;&lt;citation.key33&gt;SecondParty&lt;/citation.key33&gt;&lt;citation.value33&gt;G.D. Searle &amp; Co. &lt;/citation.value33&gt;&lt;citation.key34&gt;supra&lt;/citation.key34&gt;&lt;citation.value34&gt;&lt;/citation.value34&gt;&lt;citation.key35&gt;supra.,&lt;/citation.key35&gt;&lt;citation.value35&gt;, &lt;/citation.value35&gt;&lt;citation.key36&gt;supra._Pattern&lt;/citation.key36&gt;&lt;citation.value36&gt;ShortCaseSupra.ShortCaseSupra&lt;/citation.value36&gt;&lt;citation.key37&gt;supra.supra&lt;/citation.key37&gt;&lt;citation.value37&gt;supra&lt;/citation.value37&gt;&lt;citation.key38&gt;v&lt;/citation.key38&gt;&lt;citation.value38&gt;v.&lt;/citation.value38&gt;&lt;/citation&gt;_x000a_"/>
    <w:docVar w:name="CITRUS_BOOKMARK3[0]" w:val="&lt;#1&gt;&lt;citation&gt;&lt;citation._original_string&gt;Black's Law Dictionary (9th ed. 2009)&lt;/citation._original_string&gt;&lt;citation._current_string&gt;Black's Law Dictionary (9th ed. 2009)&lt;/citation._current_string&gt;&lt;citation._full_string&gt;Black's Law Dictionary (9th ed. 2009)&lt;/citation._full_string&gt;&lt;citation._current_format&gt;Full.Dictionaries&lt;/citation._current_format&gt;&lt;citation.name&gt;&lt;/citation.name&gt;&lt;citation.key0&gt;DictionaryEdition&lt;/citation.key0&gt;&lt;citation.value0&gt; (9th ed. 2009)&lt;/citation.value0&gt;&lt;citation.key1&gt;DictionaryEdition.(&lt;/citation.key1&gt;&lt;citation.value1&gt;(&lt;/citation.value1&gt;&lt;citation.key2&gt;DictionaryEdition.)&lt;/citation.key2&gt;&lt;citation.value2&gt;)&lt;/citation.value2&gt;&lt;citation.key3&gt;DictionaryEdition.DictionaryEditionName&lt;/citation.key3&gt;&lt;citation.value3&gt;9th ed. &lt;/citation.value3&gt;&lt;citation.key4&gt;DictionaryEdition.DictionaryEditionName.Edition&lt;/citation.key4&gt;&lt;citation.value4&gt;ed.&lt;/citation.value4&gt;&lt;citation.key5&gt;DictionaryEdition.DictionaryEditionName.EditionOrdinal&lt;/citation.key5&gt;&lt;citation.value5&gt;9th&lt;/citation.value5&gt;&lt;citation.key6&gt;DictionaryEdition.DictionaryEditionName._Pattern&lt;/citation.key6&gt;&lt;citation.value6&gt;DictionaryEditionName.DictionaryEditionName&lt;/citation.value6&gt;&lt;citation.key7&gt;DictionaryEdition.ForbiddenComma._Pattern&lt;/citation.key7&gt;&lt;citation.value7&gt;ForbiddenComma.ForbiddenComma&lt;/citation.value7&gt;&lt;citation.key8&gt;DictionaryEdition.Year&lt;/citation.key8&gt;&lt;citation.value8&gt;2009 &lt;/citation.value8&gt;&lt;citation.key9&gt;DictionaryEdition.Year.Year&lt;/citation.key9&gt;&lt;citation.value9&gt;2009&lt;/citation.value9&gt;&lt;citation.key10&gt;DictionaryEdition.Year._Pattern&lt;/citation.key10&gt;&lt;citation.value10&gt;Year.Year&lt;/citation.value10&gt;&lt;citation.key11&gt;DictionaryEdition._Pattern&lt;/citation.key11&gt;&lt;citation.value11&gt;DictionaryEdition.DictionaryEdition&lt;/citation.value11&gt;&lt;citation.key12&gt;DictionaryName&lt;/citation.key12&gt;&lt;citation.value12&gt;Black's Law Dictionary&lt;/citation.value12&gt;&lt;citation.key13&gt;Id&lt;/citation.key13&gt;&lt;citation.value13&gt;Id. &lt;/citation.value13&gt;&lt;citation.key14&gt;Id.Id&lt;/citation.key14&gt;&lt;citation.value14&gt;Id.&lt;/citation.value14&gt;&lt;citation.key15&gt;Id._Pattern&lt;/citation.key15&gt;&lt;citation.value15&gt;IdGraph.IdGraph&lt;/citation.value15&gt;&lt;/citation&gt;_x000a_"/>
    <w:docVar w:name="CITRUS_BOOKMARK4[0]" w:val="&lt;#1&gt;&lt;citation&gt;&lt;citation._original_string&gt;17 U.S.C. § 201 (2010)&lt;/citation._original_string&gt;&lt;citation._current_string&gt;17 U.S.C. § 201 (?YEAR?)&lt;/citation._current_string&gt;&lt;citation._full_string&gt;17 U.S.C. §201 (?YEAR?)&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1 &lt;/citation.value13&gt;&lt;citation.key14&gt;USCCodeCitation.__SectionOrSections.SectionNumberList.SectionNumberScalarOrRange&lt;/citation.key14&gt;&lt;citation.value14&gt;201 &lt;/citation.value14&gt;&lt;citation.key15&gt;USCCodeCitation.__SectionOrSections.SectionNumberList.SectionNumberScalarOrRange.SectionNumber&lt;/citation.key15&gt;&lt;citation.value15&gt;2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YEAR?)&lt;/citation.value19&gt;&lt;citation.key20&gt;__AfterStatutoryCite.StatutoryCodeEditionCite&lt;/citation.key20&gt;&lt;citation.value20&gt; (2010)&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10 &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YEAR?&lt;/citation.value25&gt;&lt;citation.key26&gt;__AfterStatutoryCite.StatutoryCodeEditionCite.StatutoryCodeEdition.Year.Year&lt;/citation.key26&gt;&lt;citation.value26&gt;?YEAR?&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5[0]" w:val="&lt;#1&gt;&lt;citation&gt;&lt;citation._original_string&gt;17 U.S.C. § 201&lt;/citation._original_string&gt;&lt;citation._current_string&gt;17 U.S.C. § 201 (2006)&lt;/citation._current_string&gt;&lt;citation._full_string&gt;17 U.S.C. §201 (2006)&lt;/citation._full_string&gt;&lt;citation._current_format&gt;Full.USStatute&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2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2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201 &lt;/citation.value13&gt;&lt;citation.key14&gt;USCCodeCitation.__SectionOrSections.SectionNumberList.SectionNumberScalarOrRange&lt;/citation.key14&gt;&lt;citation.value14&gt;201 &lt;/citation.value14&gt;&lt;citation.key15&gt;USCCodeCitation.__SectionOrSections.SectionNumberList.SectionNumberScalarOrRange.SectionNumber&lt;/citation.key15&gt;&lt;citation.value15&gt;2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6[0]" w:val="&lt;#1&gt;&lt;citation&gt;&lt;citation._original_string&gt;17 U.S.C. § 101&lt;/citation._original_string&gt;&lt;citation._current_string&gt;Id. § 101&lt;/citation._current_string&gt;&lt;citation._full_string&gt;17 U.S.C. §101 (2006)&lt;/citation._full_string&gt;&lt;citation._current_format&gt;Id.USCId&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USCCodeCitation&lt;/citation.key3&gt;&lt;citation.value3&gt;17 U.S.C. §101 &lt;/citation.value3&gt;&lt;citation.key4&gt;USCCodeCitation.USCTitleAndCode&lt;/citation.key4&gt;&lt;citation.value4&gt;17 U.S.C. &lt;/citation.value4&gt;&lt;citation.key5&gt;USCCodeCitation.USCTitleAndCode.USC&lt;/citation.key5&gt;&lt;citation.value5&gt;U.S.C.&lt;/citation.value5&gt;&lt;citation.key6&gt;USCCodeCitation.USCTitleAndCode.Volume&lt;/citation.key6&gt;&lt;citation.value6&gt;17&lt;/citation.value6&gt;&lt;citation.key7&gt;USCCodeCitation.USCTitleAndCode._Pattern&lt;/citation.key7&gt;&lt;citation.value7&gt;USCTitleAndCode.USCTitleAndCode&lt;/citation.value7&gt;&lt;citation.key8&gt;USCCodeCitation._Pattern&lt;/citation.key8&gt;&lt;citation.value8&gt;USCCodeCitation.USCCodeCitation&lt;/citation.value8&gt;&lt;citation.key9&gt;USCCodeCitation.__SectionOrSections&lt;/citation.key9&gt;&lt;citation.value9&gt; §101 &lt;/citation.value9&gt;&lt;citation.key10&gt;USCCodeCitation.__SectionOrSections.RequiredSectionSymbol&lt;/citation.key10&gt;&lt;citation.value10&gt; §&lt;/citation.value10&gt;&lt;citation.key11&gt;USCCodeCitation.__SectionOrSections.RequiredSectionSymbol.SectionSymbol&lt;/citation.key11&gt;&lt;citation.value11&gt; §&lt;/citation.value11&gt;&lt;citation.key12&gt;USCCodeCitation.__SectionOrSections.RequiredSectionSymbol._Pattern&lt;/citation.key12&gt;&lt;citation.value12&gt;RequiredSectionSymbol.RequiredSectionSymbol&lt;/citation.value12&gt;&lt;citation.key13&gt;USCCodeCitation.__SectionOrSections.SectionNumberList&lt;/citation.key13&gt;&lt;citation.value13&gt;101 &lt;/citation.value13&gt;&lt;citation.key14&gt;USCCodeCitation.__SectionOrSections.SectionNumberList.SectionNumberScalarOrRange&lt;/citation.key14&gt;&lt;citation.value14&gt;101 &lt;/citation.value14&gt;&lt;citation.key15&gt;USCCodeCitation.__SectionOrSections.SectionNumberList.SectionNumberScalarOrRange.SectionNumber&lt;/citation.key15&gt;&lt;citation.value15&gt;101&lt;/citation.value15&gt;&lt;citation.key16&gt;USCCodeCitation.__SectionOrSections.SectionNumberList.SectionNumberScalarOrRange._Pattern&lt;/citation.key16&gt;&lt;citation.value16&gt;SectionNumberScalarOrRange.SectionNumberScalarOrRange&lt;/citation.value16&gt;&lt;citation.key17&gt;USCCodeCitation.__SectionOrSections.SectionNumberList._Pattern&lt;/citation.key17&gt;&lt;citation.value17&gt;SectionNumberList.SectionNumberList&lt;/citation.value17&gt;&lt;citation.key18&gt;USCCodeCitation.__SectionOrSections._Pattern&lt;/citation.key18&gt;&lt;citation.value18&gt;SectionOrSections.SectionOrSections&lt;/citation.value18&gt;&lt;citation.key19&gt;__AfterStatutoryCite&lt;/citation.key19&gt;&lt;citation.value19&gt; (2006)&lt;/citation.value19&gt;&lt;citation.key20&gt;__AfterStatutoryCite.StatutoryCodeEditionCite&lt;/citation.key20&gt;&lt;citation.value20&gt;(2006)&lt;/citation.value20&gt;&lt;citation.key21&gt;__AfterStatutoryCite.StatutoryCodeEditionCite.(&lt;/citation.key21&gt;&lt;citation.value21&gt;(&lt;/citation.value21&gt;&lt;citation.key22&gt;__AfterStatutoryCite.StatutoryCodeEditionCite.)&lt;/citation.key22&gt;&lt;citation.value22&gt;)&lt;/citation.value22&gt;&lt;citation.key23&gt;__AfterStatutoryCite.StatutoryCodeEditionCite.StatutoryCodeEdition&lt;/citation.key23&gt;&lt;citation.value23&gt;2006&lt;/citation.value23&gt;&lt;citation.key24&gt;__AfterStatutoryCite.StatutoryCodeEditionCite.StatutoryCodeEdition.Publisher&lt;/citation.key24&gt;&lt;citation.value24&gt;&lt;/citation.value24&gt;&lt;citation.key25&gt;__AfterStatutoryCite.StatutoryCodeEditionCite.StatutoryCodeEdition.Year&lt;/citation.key25&gt;&lt;citation.value25&gt;2006&lt;/citation.value25&gt;&lt;citation.key26&gt;__AfterStatutoryCite.StatutoryCodeEditionCite.StatutoryCodeEdition.Year.Year&lt;/citation.key26&gt;&lt;citation.value26&gt;2006&lt;/citation.value26&gt;&lt;citation.key27&gt;__AfterStatutoryCite.StatutoryCodeEditionCite.StatutoryCodeEdition.Year._Pattern&lt;/citation.key27&gt;&lt;citation.value27&gt;Year.Year&lt;/citation.value27&gt;&lt;citation.key28&gt;__AfterStatutoryCite.StatutoryCodeEditionCite.StatutoryCodeEdition._Pattern&lt;/citation.key28&gt;&lt;citation.value28&gt;StatutoryCodeEdition.StatutoryCodeEdition&lt;/citation.value28&gt;&lt;citation.key29&gt;__AfterStatutoryCite.StatutoryCodeEditionCite._Pattern&lt;/citation.key29&gt;&lt;citation.value29&gt;StatutoryCodeEditionCite.StatutoryCodeEditionCite&lt;/citation.value29&gt;&lt;citation.key30&gt;__AfterStatutoryCite._Pattern&lt;/citation.key30&gt;&lt;citation.value30&gt;AfterStatutoryCite.AfterStatutoryCite&lt;/citation.value30&gt;&lt;/citation&gt;_x000a_"/>
    <w:docVar w:name="CITRUS_BOOKMARK7[0]" w:val="&lt;#1&gt;&lt;citation&gt;&lt;citation._original_string&gt;Id. § 101 (2010)&lt;/citation._original_string&gt;&lt;citation._current_string&gt;Id. § 101 (?YEAR?)&lt;/citation._current_string&gt;&lt;citation._full_string&gt;17 U.S.C. §101 (?YEAR?)&lt;/citation._full_string&gt;&lt;citation._current_format&gt;Id.USCId&lt;/citation._current_format&gt;&lt;citation.name&gt;&lt;/citation.name&gt;&lt;citation.key0&gt;Id&lt;/citation.key0&gt;&lt;citation.value0&gt;Id. &lt;/citation.value0&gt;&lt;citation.key1&gt;Id.ForbiddenComma._Pattern&lt;/citation.key1&gt;&lt;citation.value1&gt;ForbiddenComma.ForbiddenComma&lt;/citation.value1&gt;&lt;citation.key2&gt;Id.Id&lt;/citation.key2&gt;&lt;citation.value2&gt;Id.&lt;/citation.value2&gt;&lt;citation.key3&gt;Id._Pattern&lt;/citation.key3&gt;&lt;citation.value3&gt;IdGraph.IdGraph&lt;/citation.value3&gt;&lt;citation.key4&gt;USCCodeCitation&lt;/citation.key4&gt;&lt;citation.value4&gt;17 U.S.C. §101 &lt;/citation.value4&gt;&lt;citation.key5&gt;USCCodeCitation.USCTitleAndCode&lt;/citation.key5&gt;&lt;citation.value5&gt;17 U.S.C. &lt;/citation.value5&gt;&lt;citation.key6&gt;USCCodeCitation.USCTitleAndCode.USC&lt;/citation.key6&gt;&lt;citation.value6&gt;U.S.C.&lt;/citation.value6&gt;&lt;citation.key7&gt;USCCodeCitation.USCTitleAndCode.Volume&lt;/citation.key7&gt;&lt;citation.value7&gt;17&lt;/citation.value7&gt;&lt;citation.key8&gt;USCCodeCitation.USCTitleAndCode._Pattern&lt;/citation.key8&gt;&lt;citation.value8&gt;USCTitleAndCode.USCTitleAndCode&lt;/citation.value8&gt;&lt;citation.key9&gt;USCCodeCitation._Pattern&lt;/citation.key9&gt;&lt;citation.value9&gt;USCCodeCitation.USCCodeCitation&lt;/citation.value9&gt;&lt;citation.key10&gt;USCCodeCitation.__SectionOrSections&lt;/citation.key10&gt;&lt;citation.value10&gt; §101 &lt;/citation.value10&gt;&lt;citation.key11&gt;USCCodeCitation.__SectionOrSections.RequiredSectionSymbol&lt;/citation.key11&gt;&lt;citation.value11&gt; §&lt;/citation.value11&gt;&lt;citation.key12&gt;USCCodeCitation.__SectionOrSections.RequiredSectionSymbol.SectionSymbol&lt;/citation.key12&gt;&lt;citation.value12&gt; §&lt;/citation.value12&gt;&lt;citation.key13&gt;USCCodeCitation.__SectionOrSections.RequiredSectionSymbol._Pattern&lt;/citation.key13&gt;&lt;citation.value13&gt;RequiredSectionSymbol.RequiredSectionSymbol&lt;/citation.value13&gt;&lt;citation.key14&gt;USCCodeCitation.__SectionOrSections.SectionNumberList&lt;/citation.key14&gt;&lt;citation.value14&gt;101 &lt;/citation.value14&gt;&lt;citation.key15&gt;USCCodeCitation.__SectionOrSections.SectionNumberList.SectionNumberScalarOrRange&lt;/citation.key15&gt;&lt;citation.value15&gt;101 &lt;/citation.value15&gt;&lt;citation.key16&gt;USCCodeCitation.__SectionOrSections.SectionNumberList.SectionNumberScalarOrRange.SectionNumber&lt;/citation.key16&gt;&lt;citation.value16&gt;101&lt;/citation.value16&gt;&lt;citation.key17&gt;USCCodeCitation.__SectionOrSections.SectionNumberList.SectionNumberScalarOrRange._Pattern&lt;/citation.key17&gt;&lt;citation.value17&gt;SectionNumberScalarOrRange.SectionNumberScalarOrRange&lt;/citation.value17&gt;&lt;citation.key18&gt;USCCodeCitation.__SectionOrSections.SectionNumberList._Pattern&lt;/citation.key18&gt;&lt;citation.value18&gt;SectionNumberList.SectionNumberList&lt;/citation.value18&gt;&lt;citation.key19&gt;USCCodeCitation.__SectionOrSections._Pattern&lt;/citation.key19&gt;&lt;citation.value19&gt;SectionOrSections.SectionOrSections&lt;/citation.value19&gt;&lt;citation.key20&gt;__ActNameAndSection._Pattern&lt;/citation.key20&gt;&lt;citation.value20&gt;ActNameAndSection.ActNameAndSection&lt;/citation.value20&gt;&lt;citation.key21&gt;__AfterStatutoryCite&lt;/citation.key21&gt;&lt;citation.value21&gt; (?YEAR?)&lt;/citation.value21&gt;&lt;citation.key22&gt;__AfterStatutoryCite.StatutoryCodeEditionCite&lt;/citation.key22&gt;&lt;citation.value22&gt; (2010)&lt;/citation.value22&gt;&lt;citation.key23&gt;__AfterStatutoryCite.StatutoryCodeEditionCite.(&lt;/citation.key23&gt;&lt;citation.value23&gt;(&lt;/citation.value23&gt;&lt;citation.key24&gt;__AfterStatutoryCite.StatutoryCodeEditionCite.)&lt;/citation.key24&gt;&lt;citation.value24&gt;)&lt;/citation.value24&gt;&lt;citation.key25&gt;__AfterStatutoryCite.StatutoryCodeEditionCite.StatutoryCodeEdition&lt;/citation.key25&gt;&lt;citation.value25&gt;2010 &lt;/citation.value25&gt;&lt;citation.key26&gt;__AfterStatutoryCite.StatutoryCodeEditionCite.StatutoryCodeEdition.Publisher&lt;/citation.key26&gt;&lt;citation.value26&gt;&lt;/citation.value26&gt;&lt;citation.key27&gt;__AfterStatutoryCite.StatutoryCodeEditionCite.StatutoryCodeEdition.Year&lt;/citation.key27&gt;&lt;citation.value27&gt;?YEAR?&lt;/citation.value27&gt;&lt;citation.key28&gt;__AfterStatutoryCite.StatutoryCodeEditionCite.StatutoryCodeEdition.Year.Year&lt;/citation.key28&gt;&lt;citation.value28&gt;?YEAR?&lt;/citation.value28&gt;&lt;citation.key29&gt;__AfterStatutoryCite.StatutoryCodeEditionCite.StatutoryCodeEdition.Year._Pattern&lt;/citation.key29&gt;&lt;citation.value29&gt;Year.Year&lt;/citation.value29&gt;&lt;citation.key30&gt;__AfterStatutoryCite.StatutoryCodeEditionCite.StatutoryCodeEdition._Pattern&lt;/citation.key30&gt;&lt;citation.value30&gt;StatutoryCodeEdition.StatutoryCodeEdition&lt;/citation.value30&gt;&lt;citation.key31&gt;__AfterStatutoryCite.StatutoryCodeEditionCite._Pattern&lt;/citation.key31&gt;&lt;citation.value31&gt;StatutoryCodeEditionCite.StatutoryCodeEditionCite&lt;/citation.value31&gt;&lt;citation.key32&gt;__AfterStatutoryCite._Pattern&lt;/citation.key32&gt;&lt;citation.value32&gt;AfterStatutoryCite.AfterStatutoryCite&lt;/citation.value32&gt;&lt;citation.key33&gt;__StatuteParentheticals._Pattern&lt;/citation.key33&gt;&lt;citation.value33&gt;StatuteParentheticals.StatuteParentheticals&lt;/citation.value33&gt;&lt;/citation&gt;_x000a_"/>
    <w:docVar w:name="CITRUS_BOOKMARK8[0]" w:val="&lt;#1&gt;&lt;citation&gt;&lt;citation._original_string&gt;Black's Law Dictionary (9th ed. 2009)&lt;/citation._original_string&gt;&lt;citation._current_string&gt;Black's Law Dictionary (9th ed. 2009)&lt;/citation._current_string&gt;&lt;citation._full_string&gt;Black's Law Dictionary (9th ed. 2009)&lt;/citation._full_string&gt;&lt;citation._current_format&gt;Full.Dictionaries&lt;/citation._current_format&gt;&lt;citation.name&gt;&lt;/citation.name&gt;&lt;citation.key0&gt;DictionaryEdition&lt;/citation.key0&gt;&lt;citation.value0&gt; (9th ed. 2009)&lt;/citation.value0&gt;&lt;citation.key1&gt;DictionaryEdition.(&lt;/citation.key1&gt;&lt;citation.value1&gt;(&lt;/citation.value1&gt;&lt;citation.key2&gt;DictionaryEdition.)&lt;/citation.key2&gt;&lt;citation.value2&gt;)&lt;/citation.value2&gt;&lt;citation.key3&gt;DictionaryEdition.DictionaryEditionName&lt;/citation.key3&gt;&lt;citation.value3&gt;9th ed. &lt;/citation.value3&gt;&lt;citation.key4&gt;DictionaryEdition.DictionaryEditionName.Edition&lt;/citation.key4&gt;&lt;citation.value4&gt;ed.&lt;/citation.value4&gt;&lt;citation.key5&gt;DictionaryEdition.DictionaryEditionName.EditionOrdinal&lt;/citation.key5&gt;&lt;citation.value5&gt;9th&lt;/citation.value5&gt;&lt;citation.key6&gt;DictionaryEdition.DictionaryEditionName._Pattern&lt;/citation.key6&gt;&lt;citation.value6&gt;DictionaryEditionName.DictionaryEditionName&lt;/citation.value6&gt;&lt;citation.key7&gt;DictionaryEdition.ForbiddenComma._Pattern&lt;/citation.key7&gt;&lt;citation.value7&gt;ForbiddenComma.ForbiddenComma&lt;/citation.value7&gt;&lt;citation.key8&gt;DictionaryEdition.Year&lt;/citation.key8&gt;&lt;citation.value8&gt;2009 &lt;/citation.value8&gt;&lt;citation.key9&gt;DictionaryEdition.Year.Year&lt;/citation.key9&gt;&lt;citation.value9&gt;2009&lt;/citation.value9&gt;&lt;citation.key10&gt;DictionaryEdition.Year._Pattern&lt;/citation.key10&gt;&lt;citation.value10&gt;Year.Year&lt;/citation.value10&gt;&lt;citation.key11&gt;DictionaryEdition._Pattern&lt;/citation.key11&gt;&lt;citation.value11&gt;DictionaryEdition.DictionaryEdition&lt;/citation.value11&gt;&lt;citation.key12&gt;DictionaryName&lt;/citation.key12&gt;&lt;citation.value12&gt;Black's Law Dictionary&lt;/citation.value12&gt;&lt;citation.key13&gt;Id&lt;/citation.key13&gt;&lt;citation.value13&gt;Id. &lt;/citation.value13&gt;&lt;citation.key14&gt;Id.Id&lt;/citation.key14&gt;&lt;citation.value14&gt;Id.&lt;/citation.value14&gt;&lt;citation.key15&gt;Id._Pattern&lt;/citation.key15&gt;&lt;citation.value15&gt;IdGraph.IdGraph&lt;/citation.value15&gt;&lt;/citation&gt;_x000a_"/>
    <w:docVar w:name="CITRUS_BOOKMARK9[0]" w:val="&lt;#1&gt;&lt;citation&gt;&lt;citation._original_string&gt;Id. § 101 (2010)&lt;/citation._original_string&gt;&lt;citation._current_string&gt;Id. § 101 (?YEAR?)&lt;/citation._current_string&gt;&lt;citation._full_string&gt;17 U.S.C. §101 (?YEAR?)&lt;/citation._full_string&gt;&lt;citation._current_format&gt;Id.USCId&lt;/citation._current_format&gt;&lt;citation.name&gt;&lt;/citation.name&gt;&lt;citation.key0&gt;Id&lt;/citation.key0&gt;&lt;citation.value0&gt;Id. &lt;/citation.value0&gt;&lt;citation.key1&gt;Id.ForbiddenComma._Pattern&lt;/citation.key1&gt;&lt;citation.value1&gt;ForbiddenComma.ForbiddenComma&lt;/citation.value1&gt;&lt;citation.key2&gt;Id.Id&lt;/citation.key2&gt;&lt;citation.value2&gt;Id.&lt;/citation.value2&gt;&lt;citation.key3&gt;Id._Pattern&lt;/citation.key3&gt;&lt;citation.value3&gt;IdGraph.IdGraph&lt;/citation.value3&gt;&lt;citation.key4&gt;USCCodeCitation&lt;/citation.key4&gt;&lt;citation.value4&gt;17 U.S.C. §101 &lt;/citation.value4&gt;&lt;citation.key5&gt;USCCodeCitation.USCTitleAndCode&lt;/citation.key5&gt;&lt;citation.value5&gt;17 U.S.C. &lt;/citation.value5&gt;&lt;citation.key6&gt;USCCodeCitation.USCTitleAndCode.USC&lt;/citation.key6&gt;&lt;citation.value6&gt;U.S.C.&lt;/citation.value6&gt;&lt;citation.key7&gt;USCCodeCitation.USCTitleAndCode.Volume&lt;/citation.key7&gt;&lt;citation.value7&gt;17&lt;/citation.value7&gt;&lt;citation.key8&gt;USCCodeCitation.USCTitleAndCode._Pattern&lt;/citation.key8&gt;&lt;citation.value8&gt;USCTitleAndCode.USCTitleAndCode&lt;/citation.value8&gt;&lt;citation.key9&gt;USCCodeCitation._Pattern&lt;/citation.key9&gt;&lt;citation.value9&gt;USCCodeCitation.USCCodeCitation&lt;/citation.value9&gt;&lt;citation.key10&gt;USCCodeCitation.__SectionOrSections&lt;/citation.key10&gt;&lt;citation.value10&gt; §101 &lt;/citation.value10&gt;&lt;citation.key11&gt;USCCodeCitation.__SectionOrSections.RequiredSectionSymbol&lt;/citation.key11&gt;&lt;citation.value11&gt; §&lt;/citation.value11&gt;&lt;citation.key12&gt;USCCodeCitation.__SectionOrSections.RequiredSectionSymbol.SectionSymbol&lt;/citation.key12&gt;&lt;citation.value12&gt; §&lt;/citation.value12&gt;&lt;citation.key13&gt;USCCodeCitation.__SectionOrSections.RequiredSectionSymbol._Pattern&lt;/citation.key13&gt;&lt;citation.value13&gt;RequiredSectionSymbol.RequiredSectionSymbol&lt;/citation.value13&gt;&lt;citation.key14&gt;USCCodeCitation.__SectionOrSections.SectionNumberList&lt;/citation.key14&gt;&lt;citation.value14&gt;101 &lt;/citation.value14&gt;&lt;citation.key15&gt;USCCodeCitation.__SectionOrSections.SectionNumberList.SectionNumberScalarOrRange&lt;/citation.key15&gt;&lt;citation.value15&gt;101 &lt;/citation.value15&gt;&lt;citation.key16&gt;USCCodeCitation.__SectionOrSections.SectionNumberList.SectionNumberScalarOrRange.SectionNumber&lt;/citation.key16&gt;&lt;citation.value16&gt;101&lt;/citation.value16&gt;&lt;citation.key17&gt;USCCodeCitation.__SectionOrSections.SectionNumberList.SectionNumberScalarOrRange._Pattern&lt;/citation.key17&gt;&lt;citation.value17&gt;SectionNumberScalarOrRange.SectionNumberScalarOrRange&lt;/citation.value17&gt;&lt;citation.key18&gt;USCCodeCitation.__SectionOrSections.SectionNumberList._Pattern&lt;/citation.key18&gt;&lt;citation.value18&gt;SectionNumberList.SectionNumberList&lt;/citation.value18&gt;&lt;citation.key19&gt;USCCodeCitation.__SectionOrSections._Pattern&lt;/citation.key19&gt;&lt;citation.value19&gt;SectionOrSections.SectionOrSections&lt;/citation.value19&gt;&lt;citation.key20&gt;__ActNameAndSection._Pattern&lt;/citation.key20&gt;&lt;citation.value20&gt;ActNameAndSection.ActNameAndSection&lt;/citation.value20&gt;&lt;citation.key21&gt;__AfterStatutoryCite&lt;/citation.key21&gt;&lt;citation.value21&gt; (?YEAR?)&lt;/citation.value21&gt;&lt;citation.key22&gt;__AfterStatutoryCite.StatutoryCodeEditionCite&lt;/citation.key22&gt;&lt;citation.value22&gt; (2010)&lt;/citation.value22&gt;&lt;citation.key23&gt;__AfterStatutoryCite.StatutoryCodeEditionCite.(&lt;/citation.key23&gt;&lt;citation.value23&gt;(&lt;/citation.value23&gt;&lt;citation.key24&gt;__AfterStatutoryCite.StatutoryCodeEditionCite.)&lt;/citation.key24&gt;&lt;citation.value24&gt;)&lt;/citation.value24&gt;&lt;citation.key25&gt;__AfterStatutoryCite.StatutoryCodeEditionCite.StatutoryCodeEdition&lt;/citation.key25&gt;&lt;citation.value25&gt;2010 &lt;/citation.value25&gt;&lt;citation.key26&gt;__AfterStatutoryCite.StatutoryCodeEditionCite.StatutoryCodeEdition.Publisher&lt;/citation.key26&gt;&lt;citation.value26&gt;&lt;/citation.value26&gt;&lt;citation.key27&gt;__AfterStatutoryCite.StatutoryCodeEditionCite.StatutoryCodeEdition.Year&lt;/citation.key27&gt;&lt;citation.value27&gt;?YEAR?&lt;/citation.value27&gt;&lt;citation.key28&gt;__AfterStatutoryCite.StatutoryCodeEditionCite.StatutoryCodeEdition.Year.Year&lt;/citation.key28&gt;&lt;citation.value28&gt;?YEAR?&lt;/citation.value28&gt;&lt;citation.key29&gt;__AfterStatutoryCite.StatutoryCodeEditionCite.StatutoryCodeEdition.Year._Pattern&lt;/citation.key29&gt;&lt;citation.value29&gt;Year.Year&lt;/citation.value29&gt;&lt;citation.key30&gt;__AfterStatutoryCite.StatutoryCodeEditionCite.StatutoryCodeEdition._Pattern&lt;/citation.key30&gt;&lt;citation.value30&gt;StatutoryCodeEdition.StatutoryCodeEdition&lt;/citation.value30&gt;&lt;citation.key31&gt;__AfterStatutoryCite.StatutoryCodeEditionCite._Pattern&lt;/citation.key31&gt;&lt;citation.value31&gt;StatutoryCodeEditionCite.StatutoryCodeEditionCite&lt;/citation.value31&gt;&lt;citation.key32&gt;__AfterStatutoryCite._Pattern&lt;/citation.key32&gt;&lt;citation.value32&gt;AfterStatutoryCite.AfterStatutoryCite&lt;/citation.value32&gt;&lt;citation.key33&gt;__StatuteParentheticals._Pattern&lt;/citation.key33&gt;&lt;citation.value33&gt;StatuteParentheticals.StatuteParentheticals&lt;/citation.value33&gt;&lt;/citation&gt;_x000a_"/>
  </w:docVars>
  <w:rsids>
    <w:rsidRoot w:val="00820A7D"/>
    <w:rsid w:val="000019C1"/>
    <w:rsid w:val="00027DAE"/>
    <w:rsid w:val="00027DC1"/>
    <w:rsid w:val="000F15D2"/>
    <w:rsid w:val="001065C2"/>
    <w:rsid w:val="00156837"/>
    <w:rsid w:val="00166B8C"/>
    <w:rsid w:val="001764DE"/>
    <w:rsid w:val="001F197E"/>
    <w:rsid w:val="00254B43"/>
    <w:rsid w:val="00292E24"/>
    <w:rsid w:val="002E5D49"/>
    <w:rsid w:val="002F2E48"/>
    <w:rsid w:val="00340CE7"/>
    <w:rsid w:val="003E4EBB"/>
    <w:rsid w:val="00471C4C"/>
    <w:rsid w:val="004B0E6C"/>
    <w:rsid w:val="004F6A8E"/>
    <w:rsid w:val="00573D34"/>
    <w:rsid w:val="005C28B9"/>
    <w:rsid w:val="005E746A"/>
    <w:rsid w:val="00615844"/>
    <w:rsid w:val="006206F5"/>
    <w:rsid w:val="00642159"/>
    <w:rsid w:val="00646DCD"/>
    <w:rsid w:val="00696AF2"/>
    <w:rsid w:val="0069729F"/>
    <w:rsid w:val="00790AE3"/>
    <w:rsid w:val="00796CEF"/>
    <w:rsid w:val="007D68D2"/>
    <w:rsid w:val="00820A7D"/>
    <w:rsid w:val="00903D6B"/>
    <w:rsid w:val="00920080"/>
    <w:rsid w:val="009265DF"/>
    <w:rsid w:val="00981E9E"/>
    <w:rsid w:val="00982469"/>
    <w:rsid w:val="009B082C"/>
    <w:rsid w:val="009E27E4"/>
    <w:rsid w:val="009F4B9E"/>
    <w:rsid w:val="00A161B7"/>
    <w:rsid w:val="00A76A1A"/>
    <w:rsid w:val="00AC20BE"/>
    <w:rsid w:val="00B1656E"/>
    <w:rsid w:val="00B7176C"/>
    <w:rsid w:val="00BA3C6F"/>
    <w:rsid w:val="00BC0403"/>
    <w:rsid w:val="00C16D2C"/>
    <w:rsid w:val="00C244EB"/>
    <w:rsid w:val="00CA4F3E"/>
    <w:rsid w:val="00CD7B58"/>
    <w:rsid w:val="00CE7745"/>
    <w:rsid w:val="00CF7C88"/>
    <w:rsid w:val="00D3417F"/>
    <w:rsid w:val="00DC5106"/>
    <w:rsid w:val="00DE0BD0"/>
    <w:rsid w:val="00DF0C91"/>
    <w:rsid w:val="00E326C6"/>
    <w:rsid w:val="00E6789B"/>
    <w:rsid w:val="00E94DEC"/>
    <w:rsid w:val="00EB383C"/>
    <w:rsid w:val="00ED3530"/>
    <w:rsid w:val="00ED48EB"/>
    <w:rsid w:val="00F02981"/>
    <w:rsid w:val="00F3456E"/>
    <w:rsid w:val="00F6549D"/>
    <w:rsid w:val="00F87EE8"/>
    <w:rsid w:val="00FA5AC3"/>
    <w:rsid w:val="00FB209B"/>
    <w:rsid w:val="00FF09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DFBA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844"/>
    <w:pPr>
      <w:spacing w:after="0" w:line="240" w:lineRule="auto"/>
    </w:pPr>
    <w:rPr>
      <w:rFonts w:eastAsia="Times New Roman"/>
    </w:rPr>
  </w:style>
  <w:style w:type="paragraph" w:styleId="Heading1">
    <w:name w:val="heading 1"/>
    <w:basedOn w:val="Normal"/>
    <w:next w:val="Normal"/>
    <w:link w:val="Heading1Char"/>
    <w:uiPriority w:val="9"/>
    <w:qFormat/>
    <w:rsid w:val="00573D3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73D34"/>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73D34"/>
    <w:pPr>
      <w:keepNext/>
      <w:keepLines/>
      <w:spacing w:before="200" w:line="276"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73D34"/>
    <w:pPr>
      <w:keepNext/>
      <w:keepLines/>
      <w:spacing w:before="200" w:line="276"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73D34"/>
    <w:pPr>
      <w:keepNext/>
      <w:keepLines/>
      <w:spacing w:before="200" w:line="276"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73D34"/>
    <w:pPr>
      <w:keepNext/>
      <w:keepLines/>
      <w:spacing w:before="200" w:line="276"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73D34"/>
    <w:pPr>
      <w:keepNext/>
      <w:keepLines/>
      <w:spacing w:before="20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73D34"/>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73D34"/>
    <w:pPr>
      <w:keepNext/>
      <w:keepLines/>
      <w:spacing w:before="20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0A7D"/>
    <w:pPr>
      <w:spacing w:after="200" w:line="276" w:lineRule="auto"/>
      <w:ind w:left="720"/>
      <w:contextualSpacing/>
    </w:pPr>
    <w:rPr>
      <w:rFonts w:eastAsiaTheme="minorHAnsi"/>
    </w:rPr>
  </w:style>
  <w:style w:type="character" w:styleId="Hyperlink">
    <w:name w:val="Hyperlink"/>
    <w:basedOn w:val="DefaultParagraphFont"/>
    <w:uiPriority w:val="99"/>
    <w:semiHidden/>
    <w:unhideWhenUsed/>
    <w:rsid w:val="00642159"/>
    <w:rPr>
      <w:color w:val="0000FF"/>
      <w:u w:val="single"/>
    </w:rPr>
  </w:style>
  <w:style w:type="character" w:customStyle="1" w:styleId="Heading9Char">
    <w:name w:val="Heading 9 Char"/>
    <w:basedOn w:val="DefaultParagraphFont"/>
    <w:link w:val="Heading9"/>
    <w:uiPriority w:val="9"/>
    <w:semiHidden/>
    <w:rsid w:val="00573D34"/>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573D34"/>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573D34"/>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573D34"/>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573D34"/>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573D34"/>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573D34"/>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573D34"/>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573D34"/>
    <w:rPr>
      <w:rFonts w:asciiTheme="majorHAnsi" w:eastAsiaTheme="majorEastAsia" w:hAnsiTheme="majorHAnsi" w:cstheme="majorBidi"/>
      <w:b/>
      <w:bCs/>
      <w:color w:val="365F91" w:themeColor="accent1" w:themeShade="BF"/>
      <w:sz w:val="28"/>
      <w:szCs w:val="28"/>
    </w:rPr>
  </w:style>
  <w:style w:type="character" w:customStyle="1" w:styleId="cohl">
    <w:name w:val="co_hl"/>
    <w:basedOn w:val="DefaultParagraphFont"/>
    <w:rsid w:val="00C244EB"/>
  </w:style>
  <w:style w:type="character" w:customStyle="1" w:styleId="queryh1">
    <w:name w:val="query_h1"/>
    <w:basedOn w:val="DefaultParagraphFont"/>
    <w:rsid w:val="00ED48EB"/>
  </w:style>
  <w:style w:type="character" w:customStyle="1" w:styleId="costarpage">
    <w:name w:val="co_starpage"/>
    <w:basedOn w:val="DefaultParagraphFont"/>
    <w:rsid w:val="00DF0C91"/>
  </w:style>
  <w:style w:type="character" w:styleId="Emphasis">
    <w:name w:val="Emphasis"/>
    <w:basedOn w:val="DefaultParagraphFont"/>
    <w:uiPriority w:val="20"/>
    <w:qFormat/>
    <w:rsid w:val="00F87EE8"/>
    <w:rPr>
      <w:i/>
      <w:iCs/>
    </w:rPr>
  </w:style>
  <w:style w:type="paragraph" w:styleId="Footer">
    <w:name w:val="footer"/>
    <w:basedOn w:val="Normal"/>
    <w:link w:val="FooterChar"/>
    <w:uiPriority w:val="99"/>
    <w:rsid w:val="00F87EE8"/>
    <w:pPr>
      <w:tabs>
        <w:tab w:val="center" w:pos="4320"/>
        <w:tab w:val="right" w:pos="8640"/>
      </w:tabs>
    </w:pPr>
    <w:rPr>
      <w:szCs w:val="20"/>
    </w:rPr>
  </w:style>
  <w:style w:type="character" w:customStyle="1" w:styleId="FooterChar">
    <w:name w:val="Footer Char"/>
    <w:basedOn w:val="DefaultParagraphFont"/>
    <w:link w:val="Footer"/>
    <w:uiPriority w:val="99"/>
    <w:rsid w:val="00F87EE8"/>
    <w:rPr>
      <w:rFonts w:eastAsia="Times New Roman"/>
      <w:szCs w:val="20"/>
    </w:rPr>
  </w:style>
  <w:style w:type="character" w:customStyle="1" w:styleId="list0020paragraphchar">
    <w:name w:val="list_0020paragraph__char"/>
    <w:basedOn w:val="DefaultParagraphFont"/>
    <w:rsid w:val="00F87EE8"/>
  </w:style>
  <w:style w:type="paragraph" w:styleId="Header">
    <w:name w:val="header"/>
    <w:basedOn w:val="Normal"/>
    <w:link w:val="HeaderChar"/>
    <w:uiPriority w:val="99"/>
    <w:unhideWhenUsed/>
    <w:rsid w:val="00F87EE8"/>
    <w:pPr>
      <w:tabs>
        <w:tab w:val="center" w:pos="4680"/>
        <w:tab w:val="right" w:pos="9360"/>
      </w:tabs>
    </w:pPr>
  </w:style>
  <w:style w:type="character" w:customStyle="1" w:styleId="HeaderChar">
    <w:name w:val="Header Char"/>
    <w:basedOn w:val="DefaultParagraphFont"/>
    <w:link w:val="Header"/>
    <w:uiPriority w:val="99"/>
    <w:rsid w:val="00F87EE8"/>
    <w:rPr>
      <w:rFonts w:eastAsia="Times New Roman"/>
    </w:rPr>
  </w:style>
  <w:style w:type="paragraph" w:styleId="BalloonText">
    <w:name w:val="Balloon Text"/>
    <w:basedOn w:val="Normal"/>
    <w:link w:val="BalloonTextChar"/>
    <w:uiPriority w:val="99"/>
    <w:semiHidden/>
    <w:unhideWhenUsed/>
    <w:rsid w:val="00CE7745"/>
    <w:rPr>
      <w:rFonts w:ascii="Tahoma" w:hAnsi="Tahoma" w:cs="Tahoma"/>
      <w:sz w:val="16"/>
      <w:szCs w:val="16"/>
    </w:rPr>
  </w:style>
  <w:style w:type="character" w:customStyle="1" w:styleId="BalloonTextChar">
    <w:name w:val="Balloon Text Char"/>
    <w:basedOn w:val="DefaultParagraphFont"/>
    <w:link w:val="BalloonText"/>
    <w:uiPriority w:val="99"/>
    <w:semiHidden/>
    <w:rsid w:val="00CE7745"/>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5E746A"/>
    <w:rPr>
      <w:sz w:val="20"/>
      <w:szCs w:val="20"/>
    </w:rPr>
  </w:style>
  <w:style w:type="character" w:customStyle="1" w:styleId="FootnoteTextChar">
    <w:name w:val="Footnote Text Char"/>
    <w:basedOn w:val="DefaultParagraphFont"/>
    <w:link w:val="FootnoteText"/>
    <w:uiPriority w:val="99"/>
    <w:semiHidden/>
    <w:rsid w:val="005E746A"/>
    <w:rPr>
      <w:rFonts w:eastAsia="Times New Roman"/>
      <w:sz w:val="20"/>
      <w:szCs w:val="20"/>
    </w:rPr>
  </w:style>
  <w:style w:type="character" w:styleId="FootnoteReference">
    <w:name w:val="footnote reference"/>
    <w:basedOn w:val="DefaultParagraphFont"/>
    <w:uiPriority w:val="99"/>
    <w:semiHidden/>
    <w:unhideWhenUsed/>
    <w:rsid w:val="005E746A"/>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844"/>
    <w:pPr>
      <w:spacing w:after="0" w:line="240" w:lineRule="auto"/>
    </w:pPr>
    <w:rPr>
      <w:rFonts w:eastAsia="Times New Roman"/>
    </w:rPr>
  </w:style>
  <w:style w:type="paragraph" w:styleId="Heading1">
    <w:name w:val="heading 1"/>
    <w:basedOn w:val="Normal"/>
    <w:next w:val="Normal"/>
    <w:link w:val="Heading1Char"/>
    <w:uiPriority w:val="9"/>
    <w:qFormat/>
    <w:rsid w:val="00573D34"/>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573D34"/>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73D34"/>
    <w:pPr>
      <w:keepNext/>
      <w:keepLines/>
      <w:spacing w:before="200" w:line="276"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73D34"/>
    <w:pPr>
      <w:keepNext/>
      <w:keepLines/>
      <w:spacing w:before="200" w:line="276"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73D34"/>
    <w:pPr>
      <w:keepNext/>
      <w:keepLines/>
      <w:spacing w:before="200" w:line="276"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73D34"/>
    <w:pPr>
      <w:keepNext/>
      <w:keepLines/>
      <w:spacing w:before="200" w:line="276"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73D34"/>
    <w:pPr>
      <w:keepNext/>
      <w:keepLines/>
      <w:spacing w:before="20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73D34"/>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73D34"/>
    <w:pPr>
      <w:keepNext/>
      <w:keepLines/>
      <w:spacing w:before="20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0A7D"/>
    <w:pPr>
      <w:spacing w:after="200" w:line="276" w:lineRule="auto"/>
      <w:ind w:left="720"/>
      <w:contextualSpacing/>
    </w:pPr>
    <w:rPr>
      <w:rFonts w:eastAsiaTheme="minorHAnsi"/>
    </w:rPr>
  </w:style>
  <w:style w:type="character" w:styleId="Hyperlink">
    <w:name w:val="Hyperlink"/>
    <w:basedOn w:val="DefaultParagraphFont"/>
    <w:uiPriority w:val="99"/>
    <w:semiHidden/>
    <w:unhideWhenUsed/>
    <w:rsid w:val="00642159"/>
    <w:rPr>
      <w:color w:val="0000FF"/>
      <w:u w:val="single"/>
    </w:rPr>
  </w:style>
  <w:style w:type="character" w:customStyle="1" w:styleId="Heading9Char">
    <w:name w:val="Heading 9 Char"/>
    <w:basedOn w:val="DefaultParagraphFont"/>
    <w:link w:val="Heading9"/>
    <w:uiPriority w:val="9"/>
    <w:semiHidden/>
    <w:rsid w:val="00573D34"/>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573D34"/>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573D34"/>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573D34"/>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573D34"/>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573D34"/>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573D34"/>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573D34"/>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573D34"/>
    <w:rPr>
      <w:rFonts w:asciiTheme="majorHAnsi" w:eastAsiaTheme="majorEastAsia" w:hAnsiTheme="majorHAnsi" w:cstheme="majorBidi"/>
      <w:b/>
      <w:bCs/>
      <w:color w:val="365F91" w:themeColor="accent1" w:themeShade="BF"/>
      <w:sz w:val="28"/>
      <w:szCs w:val="28"/>
    </w:rPr>
  </w:style>
  <w:style w:type="character" w:customStyle="1" w:styleId="cohl">
    <w:name w:val="co_hl"/>
    <w:basedOn w:val="DefaultParagraphFont"/>
    <w:rsid w:val="00C244EB"/>
  </w:style>
  <w:style w:type="character" w:customStyle="1" w:styleId="queryh1">
    <w:name w:val="query_h1"/>
    <w:basedOn w:val="DefaultParagraphFont"/>
    <w:rsid w:val="00ED48EB"/>
  </w:style>
  <w:style w:type="character" w:customStyle="1" w:styleId="costarpage">
    <w:name w:val="co_starpage"/>
    <w:basedOn w:val="DefaultParagraphFont"/>
    <w:rsid w:val="00DF0C91"/>
  </w:style>
  <w:style w:type="character" w:styleId="Emphasis">
    <w:name w:val="Emphasis"/>
    <w:basedOn w:val="DefaultParagraphFont"/>
    <w:uiPriority w:val="20"/>
    <w:qFormat/>
    <w:rsid w:val="00F87EE8"/>
    <w:rPr>
      <w:i/>
      <w:iCs/>
    </w:rPr>
  </w:style>
  <w:style w:type="paragraph" w:styleId="Footer">
    <w:name w:val="footer"/>
    <w:basedOn w:val="Normal"/>
    <w:link w:val="FooterChar"/>
    <w:uiPriority w:val="99"/>
    <w:rsid w:val="00F87EE8"/>
    <w:pPr>
      <w:tabs>
        <w:tab w:val="center" w:pos="4320"/>
        <w:tab w:val="right" w:pos="8640"/>
      </w:tabs>
    </w:pPr>
    <w:rPr>
      <w:szCs w:val="20"/>
    </w:rPr>
  </w:style>
  <w:style w:type="character" w:customStyle="1" w:styleId="FooterChar">
    <w:name w:val="Footer Char"/>
    <w:basedOn w:val="DefaultParagraphFont"/>
    <w:link w:val="Footer"/>
    <w:uiPriority w:val="99"/>
    <w:rsid w:val="00F87EE8"/>
    <w:rPr>
      <w:rFonts w:eastAsia="Times New Roman"/>
      <w:szCs w:val="20"/>
    </w:rPr>
  </w:style>
  <w:style w:type="character" w:customStyle="1" w:styleId="list0020paragraphchar">
    <w:name w:val="list_0020paragraph__char"/>
    <w:basedOn w:val="DefaultParagraphFont"/>
    <w:rsid w:val="00F87EE8"/>
  </w:style>
  <w:style w:type="paragraph" w:styleId="Header">
    <w:name w:val="header"/>
    <w:basedOn w:val="Normal"/>
    <w:link w:val="HeaderChar"/>
    <w:uiPriority w:val="99"/>
    <w:unhideWhenUsed/>
    <w:rsid w:val="00F87EE8"/>
    <w:pPr>
      <w:tabs>
        <w:tab w:val="center" w:pos="4680"/>
        <w:tab w:val="right" w:pos="9360"/>
      </w:tabs>
    </w:pPr>
  </w:style>
  <w:style w:type="character" w:customStyle="1" w:styleId="HeaderChar">
    <w:name w:val="Header Char"/>
    <w:basedOn w:val="DefaultParagraphFont"/>
    <w:link w:val="Header"/>
    <w:uiPriority w:val="99"/>
    <w:rsid w:val="00F87EE8"/>
    <w:rPr>
      <w:rFonts w:eastAsia="Times New Roman"/>
    </w:rPr>
  </w:style>
  <w:style w:type="paragraph" w:styleId="BalloonText">
    <w:name w:val="Balloon Text"/>
    <w:basedOn w:val="Normal"/>
    <w:link w:val="BalloonTextChar"/>
    <w:uiPriority w:val="99"/>
    <w:semiHidden/>
    <w:unhideWhenUsed/>
    <w:rsid w:val="00CE7745"/>
    <w:rPr>
      <w:rFonts w:ascii="Tahoma" w:hAnsi="Tahoma" w:cs="Tahoma"/>
      <w:sz w:val="16"/>
      <w:szCs w:val="16"/>
    </w:rPr>
  </w:style>
  <w:style w:type="character" w:customStyle="1" w:styleId="BalloonTextChar">
    <w:name w:val="Balloon Text Char"/>
    <w:basedOn w:val="DefaultParagraphFont"/>
    <w:link w:val="BalloonText"/>
    <w:uiPriority w:val="99"/>
    <w:semiHidden/>
    <w:rsid w:val="00CE7745"/>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5E746A"/>
    <w:rPr>
      <w:sz w:val="20"/>
      <w:szCs w:val="20"/>
    </w:rPr>
  </w:style>
  <w:style w:type="character" w:customStyle="1" w:styleId="FootnoteTextChar">
    <w:name w:val="Footnote Text Char"/>
    <w:basedOn w:val="DefaultParagraphFont"/>
    <w:link w:val="FootnoteText"/>
    <w:uiPriority w:val="99"/>
    <w:semiHidden/>
    <w:rsid w:val="005E746A"/>
    <w:rPr>
      <w:rFonts w:eastAsia="Times New Roman"/>
      <w:sz w:val="20"/>
      <w:szCs w:val="20"/>
    </w:rPr>
  </w:style>
  <w:style w:type="character" w:styleId="FootnoteReference">
    <w:name w:val="footnote reference"/>
    <w:basedOn w:val="DefaultParagraphFont"/>
    <w:uiPriority w:val="99"/>
    <w:semiHidden/>
    <w:unhideWhenUsed/>
    <w:rsid w:val="005E74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4092">
      <w:bodyDiv w:val="1"/>
      <w:marLeft w:val="0"/>
      <w:marRight w:val="0"/>
      <w:marTop w:val="0"/>
      <w:marBottom w:val="0"/>
      <w:divBdr>
        <w:top w:val="none" w:sz="0" w:space="0" w:color="auto"/>
        <w:left w:val="none" w:sz="0" w:space="0" w:color="auto"/>
        <w:bottom w:val="none" w:sz="0" w:space="0" w:color="auto"/>
        <w:right w:val="none" w:sz="0" w:space="0" w:color="auto"/>
      </w:divBdr>
      <w:divsChild>
        <w:div w:id="1645313139">
          <w:marLeft w:val="0"/>
          <w:marRight w:val="0"/>
          <w:marTop w:val="0"/>
          <w:marBottom w:val="0"/>
          <w:divBdr>
            <w:top w:val="none" w:sz="0" w:space="0" w:color="auto"/>
            <w:left w:val="none" w:sz="0" w:space="0" w:color="auto"/>
            <w:bottom w:val="none" w:sz="0" w:space="0" w:color="auto"/>
            <w:right w:val="none" w:sz="0" w:space="0" w:color="auto"/>
          </w:divBdr>
          <w:divsChild>
            <w:div w:id="27567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09147">
      <w:bodyDiv w:val="1"/>
      <w:marLeft w:val="0"/>
      <w:marRight w:val="0"/>
      <w:marTop w:val="0"/>
      <w:marBottom w:val="0"/>
      <w:divBdr>
        <w:top w:val="none" w:sz="0" w:space="0" w:color="auto"/>
        <w:left w:val="none" w:sz="0" w:space="0" w:color="auto"/>
        <w:bottom w:val="none" w:sz="0" w:space="0" w:color="auto"/>
        <w:right w:val="none" w:sz="0" w:space="0" w:color="auto"/>
      </w:divBdr>
    </w:div>
    <w:div w:id="194122428">
      <w:bodyDiv w:val="1"/>
      <w:marLeft w:val="0"/>
      <w:marRight w:val="0"/>
      <w:marTop w:val="0"/>
      <w:marBottom w:val="0"/>
      <w:divBdr>
        <w:top w:val="none" w:sz="0" w:space="0" w:color="auto"/>
        <w:left w:val="none" w:sz="0" w:space="0" w:color="auto"/>
        <w:bottom w:val="none" w:sz="0" w:space="0" w:color="auto"/>
        <w:right w:val="none" w:sz="0" w:space="0" w:color="auto"/>
      </w:divBdr>
      <w:divsChild>
        <w:div w:id="46339324">
          <w:marLeft w:val="0"/>
          <w:marRight w:val="0"/>
          <w:marTop w:val="0"/>
          <w:marBottom w:val="0"/>
          <w:divBdr>
            <w:top w:val="none" w:sz="0" w:space="0" w:color="auto"/>
            <w:left w:val="none" w:sz="0" w:space="0" w:color="auto"/>
            <w:bottom w:val="none" w:sz="0" w:space="0" w:color="auto"/>
            <w:right w:val="none" w:sz="0" w:space="0" w:color="auto"/>
          </w:divBdr>
          <w:divsChild>
            <w:div w:id="127691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1213655">
      <w:bodyDiv w:val="1"/>
      <w:marLeft w:val="0"/>
      <w:marRight w:val="0"/>
      <w:marTop w:val="0"/>
      <w:marBottom w:val="0"/>
      <w:divBdr>
        <w:top w:val="none" w:sz="0" w:space="0" w:color="auto"/>
        <w:left w:val="none" w:sz="0" w:space="0" w:color="auto"/>
        <w:bottom w:val="none" w:sz="0" w:space="0" w:color="auto"/>
        <w:right w:val="none" w:sz="0" w:space="0" w:color="auto"/>
      </w:divBdr>
    </w:div>
    <w:div w:id="638264551">
      <w:bodyDiv w:val="1"/>
      <w:marLeft w:val="0"/>
      <w:marRight w:val="0"/>
      <w:marTop w:val="0"/>
      <w:marBottom w:val="0"/>
      <w:divBdr>
        <w:top w:val="none" w:sz="0" w:space="0" w:color="auto"/>
        <w:left w:val="none" w:sz="0" w:space="0" w:color="auto"/>
        <w:bottom w:val="none" w:sz="0" w:space="0" w:color="auto"/>
        <w:right w:val="none" w:sz="0" w:space="0" w:color="auto"/>
      </w:divBdr>
      <w:divsChild>
        <w:div w:id="682167208">
          <w:marLeft w:val="0"/>
          <w:marRight w:val="0"/>
          <w:marTop w:val="0"/>
          <w:marBottom w:val="0"/>
          <w:divBdr>
            <w:top w:val="none" w:sz="0" w:space="0" w:color="auto"/>
            <w:left w:val="none" w:sz="0" w:space="0" w:color="auto"/>
            <w:bottom w:val="none" w:sz="0" w:space="0" w:color="auto"/>
            <w:right w:val="none" w:sz="0" w:space="0" w:color="auto"/>
          </w:divBdr>
          <w:divsChild>
            <w:div w:id="143944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103187">
      <w:bodyDiv w:val="1"/>
      <w:marLeft w:val="0"/>
      <w:marRight w:val="0"/>
      <w:marTop w:val="0"/>
      <w:marBottom w:val="0"/>
      <w:divBdr>
        <w:top w:val="none" w:sz="0" w:space="0" w:color="auto"/>
        <w:left w:val="none" w:sz="0" w:space="0" w:color="auto"/>
        <w:bottom w:val="none" w:sz="0" w:space="0" w:color="auto"/>
        <w:right w:val="none" w:sz="0" w:space="0" w:color="auto"/>
      </w:divBdr>
      <w:divsChild>
        <w:div w:id="1679649097">
          <w:marLeft w:val="0"/>
          <w:marRight w:val="0"/>
          <w:marTop w:val="0"/>
          <w:marBottom w:val="0"/>
          <w:divBdr>
            <w:top w:val="none" w:sz="0" w:space="0" w:color="auto"/>
            <w:left w:val="none" w:sz="0" w:space="0" w:color="auto"/>
            <w:bottom w:val="none" w:sz="0" w:space="0" w:color="auto"/>
            <w:right w:val="none" w:sz="0" w:space="0" w:color="auto"/>
          </w:divBdr>
          <w:divsChild>
            <w:div w:id="196349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25228">
      <w:bodyDiv w:val="1"/>
      <w:marLeft w:val="0"/>
      <w:marRight w:val="0"/>
      <w:marTop w:val="0"/>
      <w:marBottom w:val="0"/>
      <w:divBdr>
        <w:top w:val="none" w:sz="0" w:space="0" w:color="auto"/>
        <w:left w:val="none" w:sz="0" w:space="0" w:color="auto"/>
        <w:bottom w:val="none" w:sz="0" w:space="0" w:color="auto"/>
        <w:right w:val="none" w:sz="0" w:space="0" w:color="auto"/>
      </w:divBdr>
      <w:divsChild>
        <w:div w:id="1260484006">
          <w:marLeft w:val="0"/>
          <w:marRight w:val="0"/>
          <w:marTop w:val="0"/>
          <w:marBottom w:val="0"/>
          <w:divBdr>
            <w:top w:val="none" w:sz="0" w:space="0" w:color="auto"/>
            <w:left w:val="none" w:sz="0" w:space="0" w:color="auto"/>
            <w:bottom w:val="none" w:sz="0" w:space="0" w:color="auto"/>
            <w:right w:val="none" w:sz="0" w:space="0" w:color="auto"/>
          </w:divBdr>
          <w:divsChild>
            <w:div w:id="1923025943">
              <w:marLeft w:val="0"/>
              <w:marRight w:val="0"/>
              <w:marTop w:val="0"/>
              <w:marBottom w:val="0"/>
              <w:divBdr>
                <w:top w:val="none" w:sz="0" w:space="0" w:color="auto"/>
                <w:left w:val="none" w:sz="0" w:space="0" w:color="auto"/>
                <w:bottom w:val="none" w:sz="0" w:space="0" w:color="auto"/>
                <w:right w:val="none" w:sz="0" w:space="0" w:color="auto"/>
              </w:divBdr>
            </w:div>
          </w:divsChild>
        </w:div>
        <w:div w:id="2030254693">
          <w:marLeft w:val="0"/>
          <w:marRight w:val="0"/>
          <w:marTop w:val="0"/>
          <w:marBottom w:val="0"/>
          <w:divBdr>
            <w:top w:val="none" w:sz="0" w:space="0" w:color="auto"/>
            <w:left w:val="none" w:sz="0" w:space="0" w:color="auto"/>
            <w:bottom w:val="none" w:sz="0" w:space="0" w:color="auto"/>
            <w:right w:val="none" w:sz="0" w:space="0" w:color="auto"/>
          </w:divBdr>
          <w:divsChild>
            <w:div w:id="3767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CC690-FF6F-A046-AD25-55235F86C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4327</Words>
  <Characters>21549</Characters>
  <Application>Microsoft Macintosh Word</Application>
  <DocSecurity>0</DocSecurity>
  <Lines>312</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2012-03-26T22:47:00Z</cp:lastPrinted>
  <dcterms:created xsi:type="dcterms:W3CDTF">2012-04-18T15:03:00Z</dcterms:created>
  <dcterms:modified xsi:type="dcterms:W3CDTF">2012-06-02T13:33:00Z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67cf9590-85d5-4ef1-87f3-9aa78e8e8149</vt:lpwstr>
  </property>
  <property fmtid="{D5CDD505-2E9C-101B-9397-08002B2CF9AE}" pid="3" name="DocumentToolsEventId">
    <vt:lpwstr>058eb95f-18b0-4c7d-bdc4-bee140a7c81c</vt:lpwstr>
  </property>
</Properties>
</file>